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56646F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77777777" w:rsidR="000D38B4" w:rsidRDefault="000D38B4">
      <w:pPr>
        <w:rPr>
          <w:lang w:val="es-ES"/>
        </w:rPr>
      </w:pPr>
    </w:p>
    <w:p w14:paraId="2A0B13A9" w14:textId="77777777" w:rsidR="000D38B4" w:rsidRDefault="000D38B4">
      <w:pPr>
        <w:rPr>
          <w:lang w:val="es-ES"/>
        </w:rPr>
      </w:pPr>
    </w:p>
    <w:p w14:paraId="05FDF451" w14:textId="77777777" w:rsidR="000D38B4" w:rsidRDefault="000D38B4">
      <w:pPr>
        <w:rPr>
          <w:lang w:val="es-ES"/>
        </w:rPr>
      </w:pPr>
    </w:p>
    <w:p w14:paraId="7A928A8F" w14:textId="77777777" w:rsidR="000D38B4" w:rsidRDefault="000D38B4">
      <w:pPr>
        <w:rPr>
          <w:lang w:val="es-ES"/>
        </w:rPr>
      </w:pPr>
    </w:p>
    <w:p w14:paraId="62DA868F" w14:textId="77777777" w:rsidR="000D38B4" w:rsidRDefault="000D38B4">
      <w:pPr>
        <w:rPr>
          <w:lang w:val="es-ES"/>
        </w:rPr>
      </w:pPr>
    </w:p>
    <w:p w14:paraId="74690A77" w14:textId="77777777" w:rsidR="000D38B4" w:rsidRDefault="000D38B4">
      <w:pPr>
        <w:rPr>
          <w:lang w:val="es-ES"/>
        </w:rPr>
      </w:pPr>
    </w:p>
    <w:p w14:paraId="7CC3745B" w14:textId="77777777" w:rsidR="000D38B4" w:rsidRDefault="000D38B4">
      <w:pPr>
        <w:rPr>
          <w:lang w:val="es-ES"/>
        </w:rPr>
      </w:pP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52ACA86F" w14:textId="6E12E565" w:rsidR="00814221" w:rsidRDefault="00814221" w:rsidP="00814221">
      <w:pPr>
        <w:pStyle w:val="Ttulo"/>
        <w:rPr>
          <w:lang w:eastAsia="es-UY"/>
        </w:rPr>
      </w:pPr>
      <w:r>
        <w:rPr>
          <w:lang w:eastAsia="es-UY"/>
        </w:rPr>
        <w:lastRenderedPageBreak/>
        <w:t>Política de Acceso remoto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814221" w:rsidRPr="00412C35" w14:paraId="5D6DE36F" w14:textId="77777777" w:rsidTr="00ED0795">
        <w:tc>
          <w:tcPr>
            <w:tcW w:w="2161" w:type="dxa"/>
            <w:shd w:val="clear" w:color="auto" w:fill="auto"/>
          </w:tcPr>
          <w:p w14:paraId="5C1B0CC8" w14:textId="77777777" w:rsidR="00814221" w:rsidRPr="00412C35" w:rsidRDefault="00814221" w:rsidP="00ED0795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4C642F4" w14:textId="77777777" w:rsidR="00814221" w:rsidRPr="00412C35" w:rsidRDefault="00814221" w:rsidP="00ED0795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15034C81" w14:textId="77777777" w:rsidR="00814221" w:rsidRPr="00412C35" w:rsidRDefault="00814221" w:rsidP="00ED0795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3A9ABDBE" w14:textId="77777777" w:rsidR="00814221" w:rsidRPr="00412C35" w:rsidRDefault="00814221" w:rsidP="00ED0795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814221" w:rsidRPr="00412C35" w14:paraId="3C21391A" w14:textId="77777777" w:rsidTr="00ED0795">
        <w:tc>
          <w:tcPr>
            <w:tcW w:w="2161" w:type="dxa"/>
            <w:shd w:val="clear" w:color="auto" w:fill="auto"/>
          </w:tcPr>
          <w:p w14:paraId="5BBB091E" w14:textId="77777777" w:rsidR="00814221" w:rsidRPr="00412C35" w:rsidRDefault="00814221" w:rsidP="00ED0795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31599E0A" w14:textId="77777777" w:rsidR="00814221" w:rsidRPr="00412C35" w:rsidRDefault="00814221" w:rsidP="00ED0795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5610ACD0" w14:textId="77777777" w:rsidR="00814221" w:rsidRPr="00412C35" w:rsidRDefault="00814221" w:rsidP="00ED0795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58C296D4" w14:textId="77777777" w:rsidR="00814221" w:rsidRPr="00412C35" w:rsidRDefault="00814221" w:rsidP="00ED0795">
            <w:pPr>
              <w:rPr>
                <w:rFonts w:cs="Microsoft Sans Serif"/>
              </w:rPr>
            </w:pPr>
          </w:p>
        </w:tc>
      </w:tr>
    </w:tbl>
    <w:p w14:paraId="65F7523E" w14:textId="77777777" w:rsidR="00814221" w:rsidRPr="00814221" w:rsidRDefault="00814221" w:rsidP="00814221">
      <w:pPr>
        <w:rPr>
          <w:lang w:eastAsia="es-UY"/>
        </w:rPr>
      </w:pPr>
    </w:p>
    <w:p w14:paraId="25B36413" w14:textId="77777777" w:rsidR="00814221" w:rsidRPr="00814221" w:rsidRDefault="00814221" w:rsidP="00814221">
      <w:pPr>
        <w:rPr>
          <w:lang w:eastAsia="es-UY"/>
        </w:rPr>
      </w:pPr>
    </w:p>
    <w:p w14:paraId="16451335" w14:textId="09CE840D" w:rsidR="00814221" w:rsidRPr="00412C35" w:rsidRDefault="00814221" w:rsidP="00814221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Objetivo</w:t>
      </w:r>
    </w:p>
    <w:p w14:paraId="72FE9937" w14:textId="77777777" w:rsidR="00814221" w:rsidRDefault="00814221" w:rsidP="00814221">
      <w:pPr>
        <w:rPr>
          <w:rFonts w:cs="Microsoft Sans Serif"/>
        </w:rPr>
      </w:pPr>
    </w:p>
    <w:p w14:paraId="2C48BF54" w14:textId="77777777" w:rsidR="00814221" w:rsidRPr="00412C35" w:rsidRDefault="00814221" w:rsidP="00814221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 xml:space="preserve">Garantizar la seguridad de la información cuando se accede remotamente a los sistemas de información </w:t>
      </w:r>
      <w:r>
        <w:rPr>
          <w:rFonts w:cs="Microsoft Sans Serif"/>
          <w:shd w:val="clear" w:color="auto" w:fill="FFFFFF"/>
        </w:rPr>
        <w:t>de la organización</w:t>
      </w:r>
      <w:r w:rsidRPr="00412C35">
        <w:rPr>
          <w:rFonts w:cs="Microsoft Sans Serif"/>
          <w:shd w:val="clear" w:color="auto" w:fill="FFFFFF"/>
        </w:rPr>
        <w:t>, tanto por personal interno como proveedores autorizados a trabajar en esta modalidad, y definir las condiciones y restricciones del teletrabajo.</w:t>
      </w:r>
    </w:p>
    <w:p w14:paraId="7DE0C62A" w14:textId="77777777" w:rsidR="00814221" w:rsidRPr="00412C35" w:rsidRDefault="00814221" w:rsidP="00814221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Alcance</w:t>
      </w:r>
    </w:p>
    <w:p w14:paraId="331F327E" w14:textId="77777777" w:rsidR="00814221" w:rsidRDefault="00814221" w:rsidP="00814221">
      <w:pPr>
        <w:rPr>
          <w:rFonts w:cs="Microsoft Sans Serif"/>
        </w:rPr>
      </w:pPr>
    </w:p>
    <w:p w14:paraId="4EE0E1B7" w14:textId="77777777" w:rsidR="00814221" w:rsidRPr="00412C35" w:rsidRDefault="00814221" w:rsidP="00814221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>Esta política aplica a todo el personal y proveedores que estén autorizados a acceder remotamente a sistemas e información de</w:t>
      </w:r>
      <w:r>
        <w:rPr>
          <w:rFonts w:cs="Microsoft Sans Serif"/>
          <w:shd w:val="clear" w:color="auto" w:fill="FFFFFF"/>
        </w:rPr>
        <w:t xml:space="preserve"> </w:t>
      </w:r>
      <w:r w:rsidRPr="00412C35">
        <w:rPr>
          <w:rFonts w:cs="Microsoft Sans Serif"/>
          <w:shd w:val="clear" w:color="auto" w:fill="FFFFFF"/>
        </w:rPr>
        <w:t>l</w:t>
      </w:r>
      <w:r>
        <w:rPr>
          <w:rFonts w:cs="Microsoft Sans Serif"/>
          <w:shd w:val="clear" w:color="auto" w:fill="FFFFFF"/>
        </w:rPr>
        <w:t>a organización</w:t>
      </w:r>
      <w:r w:rsidRPr="00412C35">
        <w:rPr>
          <w:rFonts w:cs="Microsoft Sans Serif"/>
          <w:shd w:val="clear" w:color="auto" w:fill="FFFFFF"/>
        </w:rPr>
        <w:t>, así como a los dispositivos utilizados para tal fin.</w:t>
      </w:r>
    </w:p>
    <w:p w14:paraId="2440106F" w14:textId="77777777" w:rsidR="00814221" w:rsidRPr="00412C35" w:rsidRDefault="00814221" w:rsidP="00814221">
      <w:pPr>
        <w:rPr>
          <w:rFonts w:cs="Microsoft Sans Serif"/>
          <w:shd w:val="clear" w:color="auto" w:fill="FFFFFF"/>
        </w:rPr>
      </w:pPr>
    </w:p>
    <w:p w14:paraId="48C33BD4" w14:textId="77777777" w:rsidR="00814221" w:rsidRPr="00412C35" w:rsidRDefault="00814221" w:rsidP="00814221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Responsabilidades</w:t>
      </w:r>
    </w:p>
    <w:p w14:paraId="04DB1520" w14:textId="77777777" w:rsidR="00814221" w:rsidRDefault="00814221" w:rsidP="00814221">
      <w:pPr>
        <w:rPr>
          <w:rFonts w:cs="Microsoft Sans Serif"/>
          <w:b/>
          <w:bCs/>
          <w:lang w:eastAsia="es-UY"/>
        </w:rPr>
      </w:pPr>
    </w:p>
    <w:p w14:paraId="63C62FAF" w14:textId="77777777" w:rsidR="00814221" w:rsidRPr="00412C35" w:rsidRDefault="00814221" w:rsidP="00814221">
      <w:pPr>
        <w:rPr>
          <w:rFonts w:cs="Microsoft Sans Serif"/>
          <w:lang w:eastAsia="es-UY"/>
        </w:rPr>
      </w:pPr>
      <w:r w:rsidRPr="0A88CF62">
        <w:rPr>
          <w:rFonts w:cs="Microsoft Sans Serif"/>
          <w:b/>
          <w:bCs/>
          <w:lang w:eastAsia="es-UY"/>
        </w:rPr>
        <w:t>Responsable de seguridad de la información</w:t>
      </w:r>
      <w:r w:rsidRPr="0A88CF62">
        <w:rPr>
          <w:rFonts w:cs="Microsoft Sans Serif"/>
          <w:lang w:eastAsia="es-UY"/>
        </w:rPr>
        <w:t xml:space="preserve"> debe velar por el cumplimiento de la presente política, así como de establecer los mecanismos adecuados para su revisión.</w:t>
      </w:r>
    </w:p>
    <w:p w14:paraId="45203C38" w14:textId="77777777" w:rsidR="00814221" w:rsidRDefault="00814221" w:rsidP="00814221">
      <w:pPr>
        <w:rPr>
          <w:rFonts w:cs="Microsoft Sans Serif"/>
          <w:b/>
          <w:bCs/>
        </w:rPr>
      </w:pPr>
    </w:p>
    <w:p w14:paraId="00B2FC8D" w14:textId="77777777" w:rsidR="00814221" w:rsidRDefault="00814221" w:rsidP="00814221">
      <w:pPr>
        <w:rPr>
          <w:rFonts w:cs="Microsoft Sans Serif"/>
        </w:rPr>
      </w:pPr>
      <w:r w:rsidRPr="000652C8">
        <w:rPr>
          <w:rFonts w:cs="Microsoft Sans Serif"/>
          <w:b/>
          <w:bCs/>
        </w:rPr>
        <w:t>Dirección</w:t>
      </w:r>
      <w:r w:rsidRPr="2A318EEE">
        <w:rPr>
          <w:rFonts w:cs="Microsoft Sans Serif"/>
        </w:rPr>
        <w:t xml:space="preserve"> es responsable por planificar acciones de sensibilización a su personal y proveedores autorizados respecto a la importancia de esta política</w:t>
      </w:r>
    </w:p>
    <w:p w14:paraId="6D8F5648" w14:textId="77777777" w:rsidR="00814221" w:rsidRDefault="00814221" w:rsidP="00814221">
      <w:pPr>
        <w:rPr>
          <w:rFonts w:cs="Microsoft Sans Serif"/>
          <w:b/>
          <w:bCs/>
          <w:shd w:val="clear" w:color="auto" w:fill="FFFFFF"/>
        </w:rPr>
      </w:pPr>
    </w:p>
    <w:p w14:paraId="2EEDF6AE" w14:textId="77777777" w:rsidR="00814221" w:rsidRPr="00412C35" w:rsidRDefault="00814221" w:rsidP="00814221">
      <w:pPr>
        <w:rPr>
          <w:rFonts w:cs="Microsoft Sans Serif"/>
          <w:shd w:val="clear" w:color="auto" w:fill="FFFFFF"/>
        </w:rPr>
      </w:pPr>
      <w:r w:rsidRPr="42C28ECB">
        <w:rPr>
          <w:rFonts w:cs="Microsoft Sans Serif"/>
          <w:b/>
          <w:bCs/>
          <w:shd w:val="clear" w:color="auto" w:fill="FFFFFF"/>
        </w:rPr>
        <w:t xml:space="preserve">Gerencias </w:t>
      </w:r>
      <w:r w:rsidRPr="00412C35">
        <w:rPr>
          <w:rFonts w:cs="Microsoft Sans Serif"/>
          <w:shd w:val="clear" w:color="auto" w:fill="FFFFFF"/>
        </w:rPr>
        <w:t>son responsables de proveer y mantener las condiciones necesarias para el cumplimiento de esta política, así como establecer las reglas de uso del acceso remoto para el personal que lo requiera.</w:t>
      </w:r>
    </w:p>
    <w:p w14:paraId="7A1D2D3A" w14:textId="77777777" w:rsidR="00814221" w:rsidRPr="00412C35" w:rsidRDefault="00814221" w:rsidP="00814221">
      <w:pPr>
        <w:rPr>
          <w:rFonts w:cs="Microsoft Sans Serif"/>
          <w:shd w:val="clear" w:color="auto" w:fill="FFFFFF"/>
        </w:rPr>
      </w:pPr>
    </w:p>
    <w:p w14:paraId="4C5CF6DE" w14:textId="77777777" w:rsidR="00814221" w:rsidRPr="00412C35" w:rsidRDefault="00814221" w:rsidP="00814221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b/>
          <w:shd w:val="clear" w:color="auto" w:fill="FFFFFF"/>
        </w:rPr>
        <w:t>Responsable de tecnología de la información</w:t>
      </w:r>
      <w:r w:rsidRPr="00412C35">
        <w:rPr>
          <w:rFonts w:cs="Microsoft Sans Serif"/>
          <w:shd w:val="clear" w:color="auto" w:fill="FFFFFF"/>
        </w:rPr>
        <w:t xml:space="preserve"> es responsable por proveer los medios técnicos para el cumplimiento de la presente política.</w:t>
      </w:r>
    </w:p>
    <w:p w14:paraId="25777299" w14:textId="77777777" w:rsidR="00814221" w:rsidRPr="00412C35" w:rsidRDefault="00814221" w:rsidP="00814221">
      <w:pPr>
        <w:rPr>
          <w:rFonts w:cs="Microsoft Sans Serif"/>
          <w:lang w:eastAsia="es-UY"/>
        </w:rPr>
      </w:pPr>
    </w:p>
    <w:p w14:paraId="72742A26" w14:textId="77777777" w:rsidR="00814221" w:rsidRPr="00412C35" w:rsidRDefault="00814221" w:rsidP="00814221">
      <w:pPr>
        <w:rPr>
          <w:rFonts w:cs="Microsoft Sans Serif"/>
          <w:lang w:eastAsia="es-UY"/>
        </w:rPr>
      </w:pPr>
      <w:r w:rsidRPr="0A88CF62">
        <w:rPr>
          <w:rFonts w:cs="Microsoft Sans Serif"/>
          <w:b/>
          <w:bCs/>
          <w:lang w:eastAsia="es-UY"/>
        </w:rPr>
        <w:t xml:space="preserve">Personal y proveedores </w:t>
      </w:r>
      <w:r w:rsidRPr="0A88CF62">
        <w:rPr>
          <w:rFonts w:cs="Microsoft Sans Serif"/>
          <w:lang w:eastAsia="es-UY"/>
        </w:rPr>
        <w:t>autorizados a trabajar remotamente son responsables por cumplir con lo establecido en la presente política.</w:t>
      </w:r>
    </w:p>
    <w:p w14:paraId="6D81FA73" w14:textId="77777777" w:rsidR="00814221" w:rsidRDefault="00814221" w:rsidP="00814221">
      <w:pPr>
        <w:rPr>
          <w:lang w:eastAsia="es-UY"/>
        </w:rPr>
      </w:pPr>
    </w:p>
    <w:p w14:paraId="2E71F75A" w14:textId="77777777" w:rsidR="00814221" w:rsidRPr="00412C35" w:rsidRDefault="00814221" w:rsidP="00814221">
      <w:pPr>
        <w:pStyle w:val="Ttulo1"/>
        <w:rPr>
          <w:rFonts w:cs="Microsoft Sans Serif"/>
          <w:lang w:eastAsia="es-UY"/>
        </w:rPr>
      </w:pPr>
      <w:r>
        <w:rPr>
          <w:rFonts w:cs="Microsoft Sans Serif"/>
          <w:lang w:eastAsia="es-UY"/>
        </w:rPr>
        <w:t>Políticas relacionadas</w:t>
      </w:r>
    </w:p>
    <w:p w14:paraId="652B0EFC" w14:textId="77777777" w:rsidR="00814221" w:rsidRDefault="00814221" w:rsidP="00814221">
      <w:pPr>
        <w:rPr>
          <w:rFonts w:cs="Microsoft Sans Serif"/>
          <w:lang w:eastAsia="es-UY"/>
        </w:rPr>
      </w:pPr>
    </w:p>
    <w:p w14:paraId="3FEACAD7" w14:textId="77777777" w:rsidR="00814221" w:rsidRPr="00412C35" w:rsidRDefault="00814221" w:rsidP="00814221">
      <w:pPr>
        <w:rPr>
          <w:rFonts w:cs="Microsoft Sans Serif"/>
          <w:lang w:eastAsia="es-UY"/>
        </w:rPr>
      </w:pPr>
      <w:r w:rsidRPr="0A88CF62">
        <w:rPr>
          <w:rFonts w:cs="Microsoft Sans Serif"/>
          <w:lang w:eastAsia="es-UY"/>
        </w:rPr>
        <w:t>Política de Seguridad de la Información</w:t>
      </w:r>
    </w:p>
    <w:p w14:paraId="2D746629" w14:textId="77777777" w:rsidR="00814221" w:rsidRPr="00412C35" w:rsidRDefault="00814221" w:rsidP="00814221">
      <w:pPr>
        <w:rPr>
          <w:rFonts w:cs="Microsoft Sans Serif"/>
          <w:lang w:eastAsia="es-UY"/>
        </w:rPr>
      </w:pPr>
      <w:r w:rsidRPr="0A88CF62">
        <w:rPr>
          <w:rFonts w:cs="Microsoft Sans Serif"/>
          <w:lang w:eastAsia="es-UY"/>
        </w:rPr>
        <w:t>Política de gestión de usuarios y contraseñas</w:t>
      </w:r>
    </w:p>
    <w:p w14:paraId="657FF461" w14:textId="77777777" w:rsidR="00814221" w:rsidRPr="00412C35" w:rsidRDefault="00814221" w:rsidP="00814221">
      <w:pPr>
        <w:rPr>
          <w:rFonts w:cs="Microsoft Sans Serif"/>
          <w:lang w:eastAsia="es-UY"/>
        </w:rPr>
      </w:pPr>
      <w:r w:rsidRPr="0A88CF62">
        <w:rPr>
          <w:rFonts w:cs="Microsoft Sans Serif"/>
          <w:lang w:eastAsia="es-UY"/>
        </w:rPr>
        <w:t xml:space="preserve">Política de Seguridad del equipamiento </w:t>
      </w:r>
    </w:p>
    <w:p w14:paraId="78CF23FF" w14:textId="77777777" w:rsidR="00814221" w:rsidRPr="00412C35" w:rsidRDefault="00814221" w:rsidP="00814221">
      <w:pPr>
        <w:rPr>
          <w:rFonts w:cs="Microsoft Sans Serif"/>
          <w:lang w:eastAsia="es-UY"/>
        </w:rPr>
      </w:pPr>
      <w:r w:rsidRPr="0A88CF62">
        <w:rPr>
          <w:rFonts w:cs="Microsoft Sans Serif"/>
          <w:lang w:eastAsia="es-UY"/>
        </w:rPr>
        <w:t xml:space="preserve">Política de Protección contra software malicioso </w:t>
      </w:r>
    </w:p>
    <w:p w14:paraId="3DA4EA05" w14:textId="77777777" w:rsidR="00814221" w:rsidRDefault="00814221" w:rsidP="00814221">
      <w:pPr>
        <w:rPr>
          <w:lang w:eastAsia="es-UY"/>
        </w:rPr>
      </w:pPr>
    </w:p>
    <w:p w14:paraId="7AB2895F" w14:textId="77777777" w:rsidR="00814221" w:rsidRDefault="00814221" w:rsidP="00814221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lastRenderedPageBreak/>
        <w:t>Definiciones</w:t>
      </w:r>
    </w:p>
    <w:p w14:paraId="2E4CED43" w14:textId="77777777" w:rsidR="00814221" w:rsidRDefault="00814221" w:rsidP="00814221">
      <w:pPr>
        <w:rPr>
          <w:lang w:eastAsia="es-UY"/>
        </w:rPr>
      </w:pPr>
    </w:p>
    <w:p w14:paraId="5836DE9B" w14:textId="77777777" w:rsidR="00814221" w:rsidRDefault="00814221" w:rsidP="00814221">
      <w:pPr>
        <w:rPr>
          <w:lang w:eastAsia="es-UY"/>
        </w:rPr>
      </w:pPr>
      <w:r w:rsidRPr="00102E06">
        <w:rPr>
          <w:rFonts w:eastAsia="Calibri" w:cs="Times New Roman"/>
          <w:b/>
          <w:bCs/>
          <w:lang w:eastAsia="es-UY"/>
        </w:rPr>
        <w:t>Acceso remoto:</w:t>
      </w:r>
      <w:r w:rsidRPr="0A88CF62">
        <w:rPr>
          <w:rFonts w:eastAsia="Calibri" w:cs="Times New Roman"/>
          <w:lang w:eastAsia="es-UY"/>
        </w:rPr>
        <w:t xml:space="preserve"> capacidad de acceder a datos, correo, información y aplicaciones desde fuera del entorno de</w:t>
      </w:r>
      <w:r>
        <w:rPr>
          <w:rFonts w:eastAsia="Calibri" w:cs="Times New Roman"/>
          <w:lang w:eastAsia="es-UY"/>
        </w:rPr>
        <w:t xml:space="preserve"> </w:t>
      </w:r>
      <w:r w:rsidRPr="0A88CF62">
        <w:rPr>
          <w:rFonts w:eastAsia="Calibri" w:cs="Times New Roman"/>
          <w:lang w:eastAsia="es-UY"/>
        </w:rPr>
        <w:t>l</w:t>
      </w:r>
      <w:r>
        <w:rPr>
          <w:rFonts w:eastAsia="Calibri" w:cs="Times New Roman"/>
          <w:lang w:eastAsia="es-UY"/>
        </w:rPr>
        <w:t>a organización</w:t>
      </w:r>
      <w:r w:rsidRPr="0A88CF62">
        <w:rPr>
          <w:rFonts w:eastAsia="Calibri" w:cs="Times New Roman"/>
          <w:lang w:eastAsia="es-UY"/>
        </w:rPr>
        <w:t>.</w:t>
      </w:r>
    </w:p>
    <w:p w14:paraId="4C06D426" w14:textId="77777777" w:rsidR="00814221" w:rsidRDefault="00814221" w:rsidP="00814221">
      <w:pPr>
        <w:rPr>
          <w:lang w:eastAsia="es-UY"/>
        </w:rPr>
      </w:pPr>
      <w:r w:rsidRPr="00102E06">
        <w:rPr>
          <w:rFonts w:eastAsia="Calibri" w:cs="Times New Roman"/>
          <w:b/>
          <w:bCs/>
          <w:lang w:eastAsia="es-UY"/>
        </w:rPr>
        <w:t>Teletrabajo:</w:t>
      </w:r>
      <w:r w:rsidRPr="0A88CF62">
        <w:rPr>
          <w:rFonts w:eastAsia="Calibri" w:cs="Times New Roman"/>
          <w:lang w:eastAsia="es-UY"/>
        </w:rPr>
        <w:t xml:space="preserve"> trabajo que se realiza desde fuera de las oficinas de</w:t>
      </w:r>
      <w:r>
        <w:rPr>
          <w:rFonts w:eastAsia="Calibri" w:cs="Times New Roman"/>
          <w:lang w:eastAsia="es-UY"/>
        </w:rPr>
        <w:t xml:space="preserve"> la organización</w:t>
      </w:r>
      <w:r w:rsidRPr="0A88CF62">
        <w:rPr>
          <w:rFonts w:eastAsia="Calibri" w:cs="Times New Roman"/>
          <w:lang w:eastAsia="es-UY"/>
        </w:rPr>
        <w:t>, mediante sistemas de telecomunicación.</w:t>
      </w:r>
    </w:p>
    <w:p w14:paraId="3D05889A" w14:textId="77777777" w:rsidR="00814221" w:rsidRPr="00412C35" w:rsidRDefault="00814221" w:rsidP="00814221">
      <w:pPr>
        <w:pStyle w:val="Ttulo1"/>
        <w:rPr>
          <w:rFonts w:cs="Microsoft Sans Serif"/>
          <w:color w:val="000000"/>
          <w:sz w:val="25"/>
          <w:szCs w:val="25"/>
          <w:lang w:eastAsia="es-UY"/>
        </w:rPr>
      </w:pPr>
      <w:r w:rsidRPr="00102E06">
        <w:rPr>
          <w:lang w:eastAsia="es-UY"/>
        </w:rPr>
        <w:t>Descripción</w:t>
      </w:r>
    </w:p>
    <w:p w14:paraId="18564AC6" w14:textId="77777777" w:rsidR="00814221" w:rsidRDefault="00814221" w:rsidP="00814221">
      <w:pPr>
        <w:rPr>
          <w:rFonts w:cs="Microsoft Sans Serif"/>
        </w:rPr>
      </w:pPr>
    </w:p>
    <w:p w14:paraId="417F44B4" w14:textId="77777777" w:rsidR="00814221" w:rsidRPr="00412C35" w:rsidRDefault="00814221" w:rsidP="00814221">
      <w:pPr>
        <w:rPr>
          <w:rFonts w:eastAsia="Times New Roman" w:cs="Microsoft Sans Serif"/>
          <w:lang w:eastAsia="es-UY"/>
        </w:rPr>
      </w:pPr>
      <w:r w:rsidRPr="0A88CF62">
        <w:rPr>
          <w:rFonts w:cs="Microsoft Sans Serif"/>
        </w:rPr>
        <w:t xml:space="preserve">Se debe garantizar que la información </w:t>
      </w:r>
      <w:r>
        <w:rPr>
          <w:rFonts w:cs="Microsoft Sans Serif"/>
        </w:rPr>
        <w:t>de la organización</w:t>
      </w:r>
      <w:r w:rsidRPr="0A88CF62">
        <w:rPr>
          <w:rFonts w:cs="Microsoft Sans Serif"/>
        </w:rPr>
        <w:t xml:space="preserve"> no se vea comprometida. Para ello, es necesario el cumplimiento de las siguientes directivas:</w:t>
      </w:r>
    </w:p>
    <w:p w14:paraId="4A7B7EC3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102E06">
        <w:rPr>
          <w:rFonts w:cs="Microsoft Sans Serif"/>
          <w:lang w:val="es-UY"/>
        </w:rPr>
        <w:t>Definir una lista de servicios, redes, sistemas de información que pueden ser accedidos remotamente por personal autorizado.</w:t>
      </w:r>
    </w:p>
    <w:p w14:paraId="7EBAE2B7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102E06">
        <w:rPr>
          <w:rFonts w:cs="Microsoft Sans Serif"/>
          <w:lang w:val="es-UY"/>
        </w:rPr>
        <w:t>Contar con un inventario de accesos remotos otorgados identificando a la persona que cuenta con el acceso, el motivo por el cual se le otorgó y el plazo por el cual está autorizado.</w:t>
      </w:r>
    </w:p>
    <w:p w14:paraId="62988B8D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102E06">
        <w:rPr>
          <w:rFonts w:cs="Microsoft Sans Serif"/>
          <w:lang w:val="es-UY"/>
        </w:rPr>
        <w:t>Se debe contar con una lista de equipos desde los cuales se puede acceder remotamente.</w:t>
      </w:r>
    </w:p>
    <w:p w14:paraId="112E90D8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102E06">
        <w:rPr>
          <w:rFonts w:cs="Microsoft Sans Serif"/>
          <w:lang w:val="es-UY"/>
        </w:rPr>
        <w:t>Se debe utilizar comunicaciones seguras para el acceso remoto.</w:t>
      </w:r>
    </w:p>
    <w:p w14:paraId="4277622B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102E06">
        <w:rPr>
          <w:rFonts w:cs="Microsoft Sans Serif"/>
          <w:lang w:val="es-UY"/>
        </w:rPr>
        <w:t>Los equipos utilizados para el acceso remoto deben contar con protección ante software malicioso y estar encriptados con algún mecanismo robusto.</w:t>
      </w:r>
    </w:p>
    <w:p w14:paraId="78FDF232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lang w:val="es-UY"/>
        </w:rPr>
      </w:pPr>
      <w:r w:rsidRPr="00102E06">
        <w:rPr>
          <w:rFonts w:eastAsia="Calibri" w:cs="Microsoft Sans Serif"/>
          <w:lang w:val="es-UY"/>
        </w:rPr>
        <w:t>Se deben definir los procedimientos y protocolos para la realización de teletrabajo, así como los contactos con soporte técnico para resolución de problemas.</w:t>
      </w:r>
    </w:p>
    <w:p w14:paraId="41415B8E" w14:textId="77777777" w:rsidR="00814221" w:rsidRPr="00102E06" w:rsidRDefault="00814221" w:rsidP="00814221">
      <w:pPr>
        <w:pStyle w:val="Prrafodelista"/>
        <w:numPr>
          <w:ilvl w:val="0"/>
          <w:numId w:val="1"/>
        </w:numPr>
        <w:rPr>
          <w:rFonts w:eastAsia="Microsoft Sans Serif" w:cs="Microsoft Sans Serif"/>
          <w:lang w:val="es-UY"/>
        </w:rPr>
      </w:pPr>
      <w:r w:rsidRPr="00102E06">
        <w:rPr>
          <w:rFonts w:cs="Microsoft Sans Serif"/>
          <w:lang w:val="es-UY"/>
        </w:rPr>
        <w:t>Se debe definir un procedimiento de revisión periódica de las condiciones de uso del acceso remoto y de los usuarios que hacen uso de éste, que contemple la revisión de los puntos anteriores.</w:t>
      </w:r>
    </w:p>
    <w:p w14:paraId="036225F0" w14:textId="77777777" w:rsidR="00814221" w:rsidRPr="00412C35" w:rsidRDefault="00814221" w:rsidP="00814221">
      <w:pPr>
        <w:rPr>
          <w:rFonts w:cs="Microsoft Sans Serif"/>
          <w:lang w:eastAsia="es-UY"/>
        </w:rPr>
      </w:pPr>
    </w:p>
    <w:p w14:paraId="6756295F" w14:textId="77777777" w:rsidR="00814221" w:rsidRPr="004A7B1C" w:rsidRDefault="00814221" w:rsidP="00814221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6F7E22C3" w14:textId="77777777" w:rsidR="00814221" w:rsidRDefault="00814221" w:rsidP="00814221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  </w:t>
      </w:r>
    </w:p>
    <w:p w14:paraId="55087957" w14:textId="77777777" w:rsidR="00814221" w:rsidRDefault="00814221" w:rsidP="00814221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  <w:r>
        <w:rPr>
          <w:lang w:eastAsia="es-UY"/>
        </w:rPr>
        <w:br w:type="page"/>
      </w:r>
    </w:p>
    <w:p w14:paraId="4123EB07" w14:textId="77777777" w:rsidR="00814221" w:rsidRPr="00412C35" w:rsidRDefault="00814221" w:rsidP="00814221">
      <w:pPr>
        <w:pStyle w:val="Ttulo1"/>
        <w:rPr>
          <w:lang w:eastAsia="es-UY"/>
        </w:rPr>
      </w:pPr>
      <w:r w:rsidRPr="00412C35">
        <w:rPr>
          <w:lang w:eastAsia="es-UY"/>
        </w:rPr>
        <w:lastRenderedPageBreak/>
        <w:t>Historial de revisiones</w:t>
      </w:r>
    </w:p>
    <w:p w14:paraId="19FC3F04" w14:textId="77777777" w:rsidR="00814221" w:rsidRPr="00412C35" w:rsidRDefault="00814221" w:rsidP="00814221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814221" w:rsidRPr="00412C35" w14:paraId="310BDF58" w14:textId="77777777" w:rsidTr="00ED0795">
        <w:trPr>
          <w:trHeight w:val="448"/>
        </w:trPr>
        <w:tc>
          <w:tcPr>
            <w:tcW w:w="2178" w:type="dxa"/>
            <w:shd w:val="clear" w:color="auto" w:fill="auto"/>
          </w:tcPr>
          <w:p w14:paraId="7D0A3D43" w14:textId="77777777" w:rsidR="00814221" w:rsidRPr="00412C35" w:rsidRDefault="00814221" w:rsidP="00ED0795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0CDD381E" w14:textId="77777777" w:rsidR="00814221" w:rsidRPr="00412C35" w:rsidRDefault="00814221" w:rsidP="00ED0795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1DBE8548" w14:textId="77777777" w:rsidR="00814221" w:rsidRPr="00412C35" w:rsidRDefault="00814221" w:rsidP="00ED0795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814221" w:rsidRPr="00412C35" w14:paraId="0676CA52" w14:textId="77777777" w:rsidTr="00ED0795">
        <w:trPr>
          <w:trHeight w:val="469"/>
        </w:trPr>
        <w:tc>
          <w:tcPr>
            <w:tcW w:w="2178" w:type="dxa"/>
            <w:shd w:val="clear" w:color="auto" w:fill="auto"/>
          </w:tcPr>
          <w:p w14:paraId="2F83F1AF" w14:textId="77777777" w:rsidR="00814221" w:rsidRPr="00412C35" w:rsidRDefault="00814221" w:rsidP="00ED0795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73DBA1AF" w14:textId="77777777" w:rsidR="00814221" w:rsidRPr="00412C35" w:rsidRDefault="00814221" w:rsidP="00ED0795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4BD6B1FB" w14:textId="77777777" w:rsidR="00814221" w:rsidRPr="00412C35" w:rsidRDefault="00814221" w:rsidP="00ED0795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163C60FE" w14:textId="77777777" w:rsidR="00814221" w:rsidRPr="00412C35" w:rsidRDefault="00814221" w:rsidP="00814221">
      <w:pPr>
        <w:rPr>
          <w:rFonts w:eastAsia="Times New Roman" w:cs="Microsoft Sans Serif"/>
          <w:b/>
          <w:bCs/>
          <w:lang w:eastAsia="es-UY"/>
        </w:rPr>
      </w:pPr>
    </w:p>
    <w:p w14:paraId="2561A267" w14:textId="77777777" w:rsidR="00814221" w:rsidRDefault="00814221" w:rsidP="00814221">
      <w:pPr>
        <w:rPr>
          <w:rFonts w:eastAsiaTheme="majorEastAsia" w:cstheme="majorBidi"/>
          <w:b/>
          <w:color w:val="374C92"/>
          <w:sz w:val="28"/>
          <w:szCs w:val="32"/>
          <w:lang w:val="es-ES"/>
        </w:rPr>
      </w:pPr>
    </w:p>
    <w:p w14:paraId="110B88E2" w14:textId="2DA40824" w:rsidR="00814221" w:rsidRDefault="00814221">
      <w:pPr>
        <w:rPr>
          <w:lang w:val="es-ES"/>
        </w:rPr>
      </w:pPr>
      <w:r>
        <w:rPr>
          <w:lang w:val="es-ES"/>
        </w:rPr>
        <w:br w:type="page"/>
      </w:r>
    </w:p>
    <w:p w14:paraId="028EF709" w14:textId="26C492D7" w:rsidR="000D38B4" w:rsidRDefault="000D38B4">
      <w:pPr>
        <w:rPr>
          <w:lang w:val="es-ES"/>
        </w:rPr>
      </w:pPr>
    </w:p>
    <w:p w14:paraId="5E4214FA" w14:textId="282B909D" w:rsidR="00814221" w:rsidRDefault="00814221">
      <w:pPr>
        <w:rPr>
          <w:lang w:val="es-ES"/>
        </w:rPr>
      </w:pPr>
    </w:p>
    <w:p w14:paraId="2A57B00D" w14:textId="0109B479" w:rsidR="00814221" w:rsidRDefault="00814221">
      <w:pPr>
        <w:rPr>
          <w:lang w:val="es-ES"/>
        </w:rPr>
      </w:pPr>
    </w:p>
    <w:p w14:paraId="6C5D3FF3" w14:textId="77777777" w:rsidR="00814221" w:rsidRDefault="00814221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1B9" w14:textId="77777777" w:rsidR="0056646F" w:rsidRDefault="0056646F" w:rsidP="000D38B4">
      <w:r>
        <w:separator/>
      </w:r>
    </w:p>
  </w:endnote>
  <w:endnote w:type="continuationSeparator" w:id="0">
    <w:p w14:paraId="48E1A045" w14:textId="77777777" w:rsidR="0056646F" w:rsidRDefault="0056646F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09C7" w14:textId="77777777" w:rsidR="0056646F" w:rsidRDefault="0056646F" w:rsidP="000D38B4">
      <w:r>
        <w:separator/>
      </w:r>
    </w:p>
  </w:footnote>
  <w:footnote w:type="continuationSeparator" w:id="0">
    <w:p w14:paraId="794B781D" w14:textId="77777777" w:rsidR="0056646F" w:rsidRDefault="0056646F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4418B"/>
    <w:multiLevelType w:val="hybridMultilevel"/>
    <w:tmpl w:val="5E5EC87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1079F"/>
    <w:rsid w:val="00365975"/>
    <w:rsid w:val="003B1C56"/>
    <w:rsid w:val="0056646F"/>
    <w:rsid w:val="00581ADB"/>
    <w:rsid w:val="0063230A"/>
    <w:rsid w:val="00814221"/>
    <w:rsid w:val="00862773"/>
    <w:rsid w:val="00AE1594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221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14221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814221"/>
    <w:pPr>
      <w:spacing w:after="160" w:line="256" w:lineRule="auto"/>
      <w:ind w:left="720"/>
      <w:contextualSpacing/>
    </w:pPr>
    <w:rPr>
      <w:rFonts w:ascii="Microsoft Sans Serif" w:hAnsi="Microsoft Sans Serif"/>
      <w:color w:val="333333"/>
      <w:sz w:val="22"/>
      <w:szCs w:val="2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142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4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6D4F8617-C164-4F32-B847-4147161F31D1}"/>
</file>

<file path=customXml/itemProps2.xml><?xml version="1.0" encoding="utf-8"?>
<ds:datastoreItem xmlns:ds="http://schemas.openxmlformats.org/officeDocument/2006/customXml" ds:itemID="{325278DE-C6F8-47A2-8C3E-97235AF41934}"/>
</file>

<file path=customXml/itemProps3.xml><?xml version="1.0" encoding="utf-8"?>
<ds:datastoreItem xmlns:ds="http://schemas.openxmlformats.org/officeDocument/2006/customXml" ds:itemID="{57006BE3-1B9F-4C37-91F3-F4202EDB3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4</cp:revision>
  <dcterms:created xsi:type="dcterms:W3CDTF">2021-07-02T17:44:00Z</dcterms:created>
  <dcterms:modified xsi:type="dcterms:W3CDTF">2022-05-25T13:51:00Z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