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9287978"/>
        <w:docPartObj>
          <w:docPartGallery w:val="Cover Pages"/>
          <w:docPartUnique/>
        </w:docPartObj>
      </w:sdtPr>
      <w:sdtEndPr>
        <w:rPr>
          <w:lang w:val="es-ES"/>
        </w:rPr>
      </w:sdtEndPr>
      <w:sdtContent>
        <w:p w:rsidR="000D38B4" w:rsidRDefault="000D38B4" w:rsidP="000D38B4">
          <w:pPr>
            <w:ind w:left="-1701"/>
          </w:pPr>
        </w:p>
        <w:p w:rsidR="000D38B4" w:rsidRDefault="000D38B4" w:rsidP="000D38B4">
          <w:pPr>
            <w:ind w:left="-1701"/>
          </w:pPr>
        </w:p>
        <w:p w:rsidR="000D38B4" w:rsidRDefault="000D38B4" w:rsidP="000D38B4">
          <w:pPr>
            <w:ind w:left="-1701"/>
          </w:pPr>
        </w:p>
        <w:p w:rsidR="000D38B4" w:rsidRDefault="000D38B4" w:rsidP="000D38B4">
          <w:pPr>
            <w:ind w:left="-1701"/>
          </w:pPr>
        </w:p>
        <w:p w:rsidR="000D38B4" w:rsidRDefault="00862773" w:rsidP="000D38B4">
          <w:pPr>
            <w:ind w:left="-1701"/>
          </w:pPr>
          <w:r>
            <w:rPr>
              <w:noProof/>
              <w:lang w:val="es-UY" w:eastAsia="es-UY"/>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9"/>
                        <a:stretch>
                          <a:fillRect/>
                        </a:stretch>
                      </pic:blipFill>
                      <pic:spPr>
                        <a:xfrm>
                          <a:off x="0" y="0"/>
                          <a:ext cx="7554907" cy="6494304"/>
                        </a:xfrm>
                        <a:prstGeom prst="rect">
                          <a:avLst/>
                        </a:prstGeom>
                      </pic:spPr>
                    </pic:pic>
                  </a:graphicData>
                </a:graphic>
              </wp:inline>
            </w:drawing>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862773" w:rsidP="00862773">
          <w:pPr>
            <w:jc w:val="center"/>
            <w:rPr>
              <w:lang w:val="es-ES"/>
            </w:rPr>
          </w:pPr>
          <w:r w:rsidRPr="00AE1594">
            <w:rPr>
              <w:noProof/>
              <w:lang w:val="es-UY" w:eastAsia="es-UY"/>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stretch>
                          <a:fillRect/>
                        </a:stretch>
                      </pic:blipFill>
                      <pic:spPr>
                        <a:xfrm>
                          <a:off x="0" y="0"/>
                          <a:ext cx="2694129" cy="504063"/>
                        </a:xfrm>
                        <a:prstGeom prst="rect">
                          <a:avLst/>
                        </a:prstGeom>
                      </pic:spPr>
                    </pic:pic>
                  </a:graphicData>
                </a:graphic>
              </wp:inline>
            </w:drawing>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rsidP="00AE1594">
          <w:pPr>
            <w:jc w:val="center"/>
            <w:rPr>
              <w:lang w:val="es-ES"/>
            </w:rPr>
          </w:pPr>
        </w:p>
        <w:p w:rsidR="000D38B4" w:rsidRDefault="007937DE" w:rsidP="00AE1594">
          <w:pPr>
            <w:rPr>
              <w:lang w:val="es-ES"/>
            </w:rPr>
          </w:pPr>
        </w:p>
      </w:sdtContent>
    </w:sdt>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Pr="000D38B4" w:rsidRDefault="000D38B4">
      <w:pPr>
        <w:rPr>
          <w:color w:val="05418E"/>
          <w:lang w:val="es-ES"/>
        </w:rPr>
      </w:pPr>
    </w:p>
    <w:p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rsidR="000D38B4" w:rsidRPr="000D38B4" w:rsidRDefault="00082091">
      <w:pPr>
        <w:rPr>
          <w:rFonts w:ascii="Montserrat Light" w:hAnsi="Montserrat Light"/>
          <w:color w:val="05418E"/>
          <w:sz w:val="50"/>
          <w:szCs w:val="50"/>
        </w:rPr>
      </w:pPr>
      <w:r>
        <w:rPr>
          <w:noProof/>
          <w:lang w:val="es-UY" w:eastAsia="es-UY"/>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rsidR="000D38B4" w:rsidRDefault="000D38B4">
      <w:pPr>
        <w:rPr>
          <w:lang w:val="es-ES"/>
        </w:rPr>
      </w:pPr>
    </w:p>
    <w:p w:rsidR="00082091" w:rsidRDefault="00082091" w:rsidP="000D38B4">
      <w:pPr>
        <w:rPr>
          <w:rFonts w:ascii="Montserrat Light" w:hAnsi="Montserrat Light"/>
          <w:color w:val="262626" w:themeColor="text1" w:themeTint="D9"/>
        </w:rPr>
      </w:pPr>
    </w:p>
    <w:p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rsidR="00082091" w:rsidRPr="00581ADB" w:rsidRDefault="00082091" w:rsidP="000D38B4">
      <w:pPr>
        <w:rPr>
          <w:rFonts w:ascii="Montserrat Light" w:hAnsi="Montserrat Light"/>
          <w:color w:val="262626" w:themeColor="text1" w:themeTint="D9"/>
        </w:rPr>
      </w:pPr>
    </w:p>
    <w:p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rsidR="000D38B4" w:rsidRPr="000D38B4" w:rsidRDefault="000D38B4">
      <w:pPr>
        <w:rPr>
          <w:color w:val="262626" w:themeColor="text1" w:themeTint="D9"/>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C624B2" w:rsidRDefault="00C624B2">
      <w:pPr>
        <w:rPr>
          <w:lang w:val="es-ES"/>
        </w:rPr>
      </w:pPr>
      <w:r>
        <w:rPr>
          <w:lang w:val="es-ES"/>
        </w:rPr>
        <w:br w:type="page"/>
      </w:r>
    </w:p>
    <w:p w:rsidR="000D38B4" w:rsidRDefault="00D74AA5">
      <w:pPr>
        <w:rPr>
          <w:rFonts w:asciiTheme="majorHAnsi" w:eastAsiaTheme="majorEastAsia" w:hAnsiTheme="majorHAnsi" w:cstheme="majorBidi"/>
          <w:spacing w:val="-10"/>
          <w:kern w:val="28"/>
          <w:sz w:val="56"/>
          <w:szCs w:val="56"/>
          <w:lang w:val="es-ES"/>
        </w:rPr>
      </w:pPr>
      <w:bookmarkStart w:id="0" w:name="_GoBack"/>
      <w:r w:rsidRPr="00D74AA5">
        <w:rPr>
          <w:rFonts w:asciiTheme="majorHAnsi" w:eastAsiaTheme="majorEastAsia" w:hAnsiTheme="majorHAnsi" w:cstheme="majorBidi"/>
          <w:spacing w:val="-10"/>
          <w:kern w:val="28"/>
          <w:sz w:val="56"/>
          <w:szCs w:val="56"/>
          <w:lang w:val="es-ES"/>
        </w:rPr>
        <w:lastRenderedPageBreak/>
        <w:t>Política de Continuidad de las operaciones y recuperación ante desastres</w:t>
      </w:r>
      <w:bookmarkEnd w:id="0"/>
      <w:r>
        <w:rPr>
          <w:rFonts w:asciiTheme="majorHAnsi" w:eastAsiaTheme="majorEastAsia" w:hAnsiTheme="majorHAnsi" w:cstheme="majorBidi"/>
          <w:spacing w:val="-10"/>
          <w:kern w:val="28"/>
          <w:sz w:val="56"/>
          <w:szCs w:val="56"/>
          <w:lang w:val="es-ES"/>
        </w:rPr>
        <w:t>.</w:t>
      </w:r>
    </w:p>
    <w:p w:rsidR="00D74AA5" w:rsidRDefault="00D74AA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029"/>
        <w:gridCol w:w="1542"/>
        <w:gridCol w:w="2783"/>
      </w:tblGrid>
      <w:tr w:rsidR="00C624B2" w:rsidRPr="00412C35" w:rsidTr="00A16294">
        <w:tc>
          <w:tcPr>
            <w:tcW w:w="2161" w:type="dxa"/>
            <w:shd w:val="clear" w:color="auto" w:fill="auto"/>
          </w:tcPr>
          <w:p w:rsidR="00C624B2" w:rsidRPr="00412C35" w:rsidRDefault="00C624B2" w:rsidP="00A16294">
            <w:pPr>
              <w:rPr>
                <w:rFonts w:cs="Microsoft Sans Serif"/>
                <w:b/>
              </w:rPr>
            </w:pPr>
            <w:r w:rsidRPr="00412C35">
              <w:rPr>
                <w:rFonts w:cs="Microsoft Sans Serif"/>
                <w:b/>
              </w:rPr>
              <w:t>Versión</w:t>
            </w:r>
          </w:p>
        </w:tc>
        <w:tc>
          <w:tcPr>
            <w:tcW w:w="2058" w:type="dxa"/>
            <w:shd w:val="clear" w:color="auto" w:fill="auto"/>
          </w:tcPr>
          <w:p w:rsidR="00C624B2" w:rsidRPr="00412C35" w:rsidRDefault="00D74AA5" w:rsidP="00A16294">
            <w:pPr>
              <w:rPr>
                <w:rFonts w:cs="Microsoft Sans Serif"/>
              </w:rPr>
            </w:pPr>
            <w:r>
              <w:rPr>
                <w:rFonts w:cs="Microsoft Sans Serif"/>
              </w:rPr>
              <w:t>1</w:t>
            </w:r>
            <w:r w:rsidR="00C624B2" w:rsidRPr="00412C35">
              <w:rPr>
                <w:rFonts w:cs="Microsoft Sans Serif"/>
              </w:rPr>
              <w:t>.0</w:t>
            </w:r>
          </w:p>
        </w:tc>
        <w:tc>
          <w:tcPr>
            <w:tcW w:w="1559" w:type="dxa"/>
            <w:shd w:val="clear" w:color="auto" w:fill="auto"/>
          </w:tcPr>
          <w:p w:rsidR="00C624B2" w:rsidRPr="00412C35" w:rsidRDefault="00C624B2" w:rsidP="00A16294">
            <w:pPr>
              <w:rPr>
                <w:rFonts w:cs="Microsoft Sans Serif"/>
                <w:b/>
              </w:rPr>
            </w:pPr>
            <w:r w:rsidRPr="00412C35">
              <w:rPr>
                <w:rFonts w:cs="Microsoft Sans Serif"/>
                <w:b/>
              </w:rPr>
              <w:t>Categoría</w:t>
            </w:r>
          </w:p>
        </w:tc>
        <w:tc>
          <w:tcPr>
            <w:tcW w:w="2866" w:type="dxa"/>
            <w:shd w:val="clear" w:color="auto" w:fill="auto"/>
          </w:tcPr>
          <w:p w:rsidR="00C624B2" w:rsidRPr="00412C35" w:rsidRDefault="00C624B2" w:rsidP="00A16294">
            <w:pPr>
              <w:rPr>
                <w:rFonts w:cs="Microsoft Sans Serif"/>
              </w:rPr>
            </w:pPr>
            <w:r>
              <w:rPr>
                <w:rFonts w:cs="Microsoft Sans Serif"/>
              </w:rPr>
              <w:t>Política</w:t>
            </w:r>
          </w:p>
        </w:tc>
      </w:tr>
      <w:tr w:rsidR="00C624B2" w:rsidRPr="00412C35" w:rsidTr="00A16294">
        <w:tc>
          <w:tcPr>
            <w:tcW w:w="2161" w:type="dxa"/>
            <w:shd w:val="clear" w:color="auto" w:fill="auto"/>
          </w:tcPr>
          <w:p w:rsidR="00C624B2" w:rsidRPr="00412C35" w:rsidRDefault="00C624B2" w:rsidP="00A16294">
            <w:pPr>
              <w:rPr>
                <w:rFonts w:cs="Microsoft Sans Serif"/>
                <w:b/>
              </w:rPr>
            </w:pPr>
            <w:r w:rsidRPr="00412C35">
              <w:rPr>
                <w:rFonts w:cs="Microsoft Sans Serif"/>
                <w:b/>
              </w:rPr>
              <w:t>Última actualización</w:t>
            </w:r>
          </w:p>
        </w:tc>
        <w:tc>
          <w:tcPr>
            <w:tcW w:w="2058" w:type="dxa"/>
            <w:shd w:val="clear" w:color="auto" w:fill="auto"/>
          </w:tcPr>
          <w:p w:rsidR="00C624B2" w:rsidRPr="00412C35" w:rsidRDefault="00D74AA5" w:rsidP="00A16294">
            <w:pPr>
              <w:rPr>
                <w:rFonts w:cs="Microsoft Sans Serif"/>
              </w:rPr>
            </w:pPr>
            <w:r>
              <w:rPr>
                <w:rFonts w:cs="Microsoft Sans Serif"/>
              </w:rPr>
              <w:t>27/06/2022</w:t>
            </w:r>
          </w:p>
        </w:tc>
        <w:tc>
          <w:tcPr>
            <w:tcW w:w="1559" w:type="dxa"/>
            <w:shd w:val="clear" w:color="auto" w:fill="auto"/>
          </w:tcPr>
          <w:p w:rsidR="00C624B2" w:rsidRPr="00412C35" w:rsidRDefault="00C624B2" w:rsidP="00A16294">
            <w:pPr>
              <w:rPr>
                <w:rFonts w:cs="Microsoft Sans Serif"/>
                <w:b/>
              </w:rPr>
            </w:pPr>
            <w:r w:rsidRPr="00412C35">
              <w:rPr>
                <w:rFonts w:cs="Microsoft Sans Serif"/>
                <w:b/>
              </w:rPr>
              <w:t>Estado</w:t>
            </w:r>
          </w:p>
        </w:tc>
        <w:tc>
          <w:tcPr>
            <w:tcW w:w="2866" w:type="dxa"/>
            <w:shd w:val="clear" w:color="auto" w:fill="auto"/>
          </w:tcPr>
          <w:p w:rsidR="00C624B2" w:rsidRPr="00412C35" w:rsidRDefault="00C624B2" w:rsidP="00A16294">
            <w:pPr>
              <w:rPr>
                <w:rFonts w:cs="Microsoft Sans Serif"/>
              </w:rPr>
            </w:pPr>
          </w:p>
        </w:tc>
      </w:tr>
    </w:tbl>
    <w:p w:rsidR="00C624B2" w:rsidRDefault="00C624B2">
      <w:pPr>
        <w:rPr>
          <w:lang w:val="es-ES"/>
        </w:rPr>
      </w:pPr>
    </w:p>
    <w:p w:rsidR="00C624B2" w:rsidRDefault="00C624B2">
      <w:pPr>
        <w:rPr>
          <w:lang w:val="es-ES"/>
        </w:rPr>
      </w:pPr>
    </w:p>
    <w:p w:rsidR="00D74AA5" w:rsidRPr="00412C35" w:rsidRDefault="00D74AA5" w:rsidP="00D74AA5">
      <w:pPr>
        <w:pStyle w:val="Ttulo1"/>
        <w:rPr>
          <w:lang w:eastAsia="es-UY"/>
        </w:rPr>
      </w:pPr>
      <w:r w:rsidRPr="644051D7">
        <w:rPr>
          <w:lang w:eastAsia="es-UY"/>
        </w:rPr>
        <w:t>Objetivo</w:t>
      </w:r>
    </w:p>
    <w:p w:rsidR="00D74AA5" w:rsidRDefault="00D74AA5" w:rsidP="00D74AA5">
      <w:pPr>
        <w:rPr>
          <w:rFonts w:cs="Microsoft Sans Serif"/>
          <w:lang w:eastAsia="es-UY"/>
        </w:rPr>
      </w:pPr>
    </w:p>
    <w:p w:rsidR="00D74AA5" w:rsidRDefault="00D74AA5" w:rsidP="00D74AA5">
      <w:pPr>
        <w:rPr>
          <w:rFonts w:cs="Microsoft Sans Serif"/>
          <w:lang w:eastAsia="es-UY"/>
        </w:rPr>
      </w:pPr>
      <w:r w:rsidRPr="1A8B9FC4">
        <w:rPr>
          <w:rFonts w:cs="Microsoft Sans Serif"/>
          <w:lang w:eastAsia="es-UY"/>
        </w:rPr>
        <w:t xml:space="preserve">Planificar y gestionar la continuidad operativa de los procesos críticos de la organización ante la eventualidad de ocurrencia de eventos anormales que afecten personas, oficinas y edificios, tecnología, información y proveedores, provocando la disrupción de las operaciones. </w:t>
      </w:r>
    </w:p>
    <w:p w:rsidR="00D74AA5" w:rsidRDefault="00D74AA5" w:rsidP="00D74AA5">
      <w:pPr>
        <w:rPr>
          <w:rFonts w:cs="Microsoft Sans Serif"/>
          <w:lang w:eastAsia="es-UY"/>
        </w:rPr>
      </w:pPr>
    </w:p>
    <w:p w:rsidR="00D74AA5" w:rsidRDefault="00D74AA5" w:rsidP="00D74AA5">
      <w:pPr>
        <w:rPr>
          <w:rFonts w:cs="Microsoft Sans Serif"/>
          <w:lang w:eastAsia="es-UY"/>
        </w:rPr>
      </w:pPr>
      <w:r w:rsidRPr="72DBBEFD">
        <w:rPr>
          <w:rFonts w:cs="Microsoft Sans Serif"/>
          <w:lang w:eastAsia="es-UY"/>
        </w:rPr>
        <w:t>Responder adecuada y oportunamente ante estos eventos, asegurando la preservación de datos y funciones esenciales.</w:t>
      </w:r>
    </w:p>
    <w:p w:rsidR="00D74AA5" w:rsidRDefault="00D74AA5" w:rsidP="00D74AA5">
      <w:pPr>
        <w:rPr>
          <w:lang w:eastAsia="es-UY"/>
        </w:rPr>
      </w:pPr>
    </w:p>
    <w:p w:rsidR="00D74AA5" w:rsidRPr="00412C35" w:rsidRDefault="00D74AA5" w:rsidP="00D74AA5">
      <w:pPr>
        <w:rPr>
          <w:rFonts w:cs="Microsoft Sans Serif"/>
          <w:lang w:eastAsia="es-UY"/>
        </w:rPr>
      </w:pPr>
      <w:r w:rsidRPr="53A786BF">
        <w:rPr>
          <w:rFonts w:cs="Microsoft Sans Serif"/>
          <w:lang w:eastAsia="es-UY"/>
        </w:rPr>
        <w:t>Ante la eventualidad de ocurrencia de este tipo de eventos, lograr operar en contingencia durante el tiempo que sea necesario, afectando lo menos posible los servicios, y conseguir una recuperación ante desastres que permita el restablecimiento de las operaciones de</w:t>
      </w:r>
      <w:r>
        <w:rPr>
          <w:rFonts w:cs="Microsoft Sans Serif"/>
          <w:lang w:eastAsia="es-UY"/>
        </w:rPr>
        <w:t xml:space="preserve"> la organización a </w:t>
      </w:r>
      <w:r w:rsidRPr="53A786BF">
        <w:rPr>
          <w:rFonts w:cs="Microsoft Sans Serif"/>
          <w:lang w:eastAsia="es-UY"/>
        </w:rPr>
        <w:t>su situación normal en plazos razonables y aceptables.</w:t>
      </w:r>
    </w:p>
    <w:p w:rsidR="00D74AA5" w:rsidRDefault="00D74AA5" w:rsidP="00D74AA5">
      <w:pPr>
        <w:rPr>
          <w:lang w:eastAsia="es-UY"/>
        </w:rPr>
      </w:pPr>
    </w:p>
    <w:p w:rsidR="00D74AA5" w:rsidRDefault="00D74AA5" w:rsidP="00D74AA5">
      <w:pPr>
        <w:rPr>
          <w:rFonts w:cs="Microsoft Sans Serif"/>
          <w:lang w:eastAsia="es-UY"/>
        </w:rPr>
      </w:pPr>
      <w:r w:rsidRPr="72DBBEFD">
        <w:rPr>
          <w:rFonts w:cs="Microsoft Sans Serif"/>
          <w:lang w:eastAsia="es-UY"/>
        </w:rPr>
        <w:t xml:space="preserve">Establecer las instancias de revisión y mejora de esta </w:t>
      </w:r>
      <w:r>
        <w:rPr>
          <w:rFonts w:cs="Microsoft Sans Serif"/>
          <w:lang w:eastAsia="es-UY"/>
        </w:rPr>
        <w:t>p</w:t>
      </w:r>
      <w:r w:rsidRPr="72DBBEFD">
        <w:rPr>
          <w:rFonts w:cs="Microsoft Sans Serif"/>
          <w:lang w:eastAsia="es-UY"/>
        </w:rPr>
        <w:t xml:space="preserve">olítica, los planes de </w:t>
      </w:r>
      <w:r>
        <w:rPr>
          <w:rFonts w:cs="Microsoft Sans Serif"/>
          <w:lang w:eastAsia="es-UY"/>
        </w:rPr>
        <w:t>c</w:t>
      </w:r>
      <w:r w:rsidRPr="72DBBEFD">
        <w:rPr>
          <w:rFonts w:cs="Microsoft Sans Serif"/>
          <w:lang w:eastAsia="es-UY"/>
        </w:rPr>
        <w:t xml:space="preserve">ontinuidad del </w:t>
      </w:r>
      <w:r>
        <w:rPr>
          <w:rFonts w:cs="Microsoft Sans Serif"/>
          <w:lang w:eastAsia="es-UY"/>
        </w:rPr>
        <w:t>n</w:t>
      </w:r>
      <w:r w:rsidRPr="72DBBEFD">
        <w:rPr>
          <w:rFonts w:cs="Microsoft Sans Serif"/>
          <w:lang w:eastAsia="es-UY"/>
        </w:rPr>
        <w:t>egocio</w:t>
      </w:r>
      <w:r>
        <w:rPr>
          <w:rFonts w:cs="Microsoft Sans Serif"/>
          <w:lang w:eastAsia="es-UY"/>
        </w:rPr>
        <w:t xml:space="preserve"> (BCP) y recuperación ante desastres (DRP),</w:t>
      </w:r>
      <w:r w:rsidRPr="72DBBEFD">
        <w:rPr>
          <w:rFonts w:cs="Microsoft Sans Serif"/>
          <w:lang w:eastAsia="es-UY"/>
        </w:rPr>
        <w:t xml:space="preserve"> y sus procedimientos operativos.</w:t>
      </w:r>
    </w:p>
    <w:p w:rsidR="00D74AA5" w:rsidRDefault="00D74AA5" w:rsidP="00D74AA5">
      <w:pPr>
        <w:rPr>
          <w:rFonts w:cs="Microsoft Sans Serif"/>
          <w:lang w:eastAsia="es-UY"/>
        </w:rPr>
      </w:pPr>
    </w:p>
    <w:p w:rsidR="00D74AA5" w:rsidRPr="00412C35" w:rsidRDefault="00D74AA5" w:rsidP="00D74AA5">
      <w:pPr>
        <w:pStyle w:val="Ttulo1"/>
        <w:rPr>
          <w:lang w:eastAsia="es-UY"/>
        </w:rPr>
      </w:pPr>
      <w:r w:rsidRPr="47CFD225">
        <w:rPr>
          <w:lang w:eastAsia="es-UY"/>
        </w:rPr>
        <w:t>Alcance</w:t>
      </w:r>
    </w:p>
    <w:p w:rsidR="00D74AA5" w:rsidRDefault="00D74AA5" w:rsidP="00D74AA5">
      <w:pPr>
        <w:rPr>
          <w:rFonts w:cs="Microsoft Sans Serif"/>
          <w:lang w:eastAsia="es-UY"/>
        </w:rPr>
      </w:pPr>
    </w:p>
    <w:p w:rsidR="00D74AA5" w:rsidRDefault="00D74AA5" w:rsidP="00D74AA5">
      <w:pPr>
        <w:rPr>
          <w:rFonts w:cs="Microsoft Sans Serif"/>
          <w:lang w:eastAsia="es-UY"/>
        </w:rPr>
      </w:pPr>
      <w:r w:rsidRPr="1A8B9FC4">
        <w:rPr>
          <w:rFonts w:cs="Microsoft Sans Serif"/>
          <w:lang w:eastAsia="es-UY"/>
        </w:rPr>
        <w:t>Esta política aplica a todos los procesos críticos de la organización, los recursos que se utilizan para su ejecución, la información que éstos generan o usan, y las instalaciones donde se desarrollan</w:t>
      </w:r>
      <w:r>
        <w:rPr>
          <w:rFonts w:cs="Microsoft Sans Serif"/>
          <w:lang w:eastAsia="es-UY"/>
        </w:rPr>
        <w:t>.</w:t>
      </w:r>
    </w:p>
    <w:p w:rsidR="00D74AA5" w:rsidRPr="00412C35" w:rsidRDefault="00D74AA5" w:rsidP="00D74AA5">
      <w:pPr>
        <w:rPr>
          <w:rFonts w:cs="Microsoft Sans Serif"/>
          <w:lang w:eastAsia="es-UY"/>
        </w:rPr>
      </w:pPr>
    </w:p>
    <w:p w:rsidR="00D74AA5" w:rsidRPr="00412C35" w:rsidRDefault="00D74AA5" w:rsidP="00D74AA5">
      <w:pPr>
        <w:pStyle w:val="Ttulo1"/>
        <w:rPr>
          <w:lang w:eastAsia="es-UY"/>
        </w:rPr>
      </w:pPr>
      <w:r w:rsidRPr="72DBBEFD">
        <w:rPr>
          <w:lang w:eastAsia="es-UY"/>
        </w:rPr>
        <w:t>Responsabilidades</w:t>
      </w:r>
    </w:p>
    <w:p w:rsidR="00D74AA5" w:rsidRDefault="00D74AA5" w:rsidP="00D74AA5">
      <w:pPr>
        <w:rPr>
          <w:rFonts w:cs="Microsoft Sans Serif"/>
          <w:b/>
          <w:bCs/>
          <w:lang w:eastAsia="es-UY"/>
        </w:rPr>
      </w:pPr>
    </w:p>
    <w:p w:rsidR="00D74AA5" w:rsidRPr="00412C35" w:rsidRDefault="00D74AA5" w:rsidP="00D74AA5">
      <w:pPr>
        <w:rPr>
          <w:rFonts w:cs="Microsoft Sans Serif"/>
          <w:lang w:eastAsia="es-UY"/>
        </w:rPr>
      </w:pPr>
      <w:r w:rsidRPr="47CFD225">
        <w:rPr>
          <w:rFonts w:cs="Microsoft Sans Serif"/>
          <w:b/>
          <w:bCs/>
          <w:lang w:eastAsia="es-UY"/>
        </w:rPr>
        <w:t>Dirección</w:t>
      </w:r>
      <w:r w:rsidRPr="47CFD225">
        <w:rPr>
          <w:rFonts w:cs="Microsoft Sans Serif"/>
          <w:lang w:eastAsia="es-UY"/>
        </w:rPr>
        <w:t xml:space="preserve"> es responsable por generar las condiciones adecuadas para la ejecución y comunicación de la presente política, así como de establecer el alcance para su aplicación. Es responsable de la aprobación de los planes de respuesta, de la designación de un vocero para las comunicaciones externas e internas en ocasión de un incidente disruptivo, y de aprobar el contenido de dichas comunicaciones.</w:t>
      </w:r>
    </w:p>
    <w:p w:rsidR="00D74AA5" w:rsidRPr="00412C35" w:rsidRDefault="00D74AA5" w:rsidP="00D74AA5">
      <w:pPr>
        <w:rPr>
          <w:rFonts w:cs="Microsoft Sans Serif"/>
          <w:b/>
          <w:lang w:eastAsia="es-UY"/>
        </w:rPr>
      </w:pPr>
    </w:p>
    <w:p w:rsidR="00D74AA5" w:rsidRPr="00412C35" w:rsidRDefault="00D74AA5" w:rsidP="00D74AA5">
      <w:pPr>
        <w:rPr>
          <w:rFonts w:cs="Microsoft Sans Serif"/>
          <w:lang w:eastAsia="es-UY"/>
        </w:rPr>
      </w:pPr>
      <w:r w:rsidRPr="1A8B9FC4">
        <w:rPr>
          <w:rFonts w:cs="Microsoft Sans Serif"/>
          <w:b/>
          <w:bCs/>
          <w:lang w:eastAsia="es-UY"/>
        </w:rPr>
        <w:lastRenderedPageBreak/>
        <w:t>Gerencias</w:t>
      </w:r>
      <w:r w:rsidRPr="1A8B9FC4">
        <w:rPr>
          <w:rFonts w:cs="Microsoft Sans Serif"/>
          <w:lang w:eastAsia="es-UY"/>
        </w:rPr>
        <w:t xml:space="preserve"> de la organización son responsables por la identificación de los procesos críticos y los activos y sistemas que los soportan, así como de participar en la creación y pruebas del </w:t>
      </w:r>
      <w:r>
        <w:rPr>
          <w:rFonts w:cs="Microsoft Sans Serif"/>
          <w:lang w:eastAsia="es-UY"/>
        </w:rPr>
        <w:t>BCP y DRP</w:t>
      </w:r>
      <w:r w:rsidRPr="1A8B9FC4">
        <w:rPr>
          <w:rFonts w:cs="Microsoft Sans Serif"/>
          <w:lang w:eastAsia="es-UY"/>
        </w:rPr>
        <w:t xml:space="preserve">. </w:t>
      </w:r>
      <w:r>
        <w:rPr>
          <w:rFonts w:cs="Microsoft Sans Serif"/>
          <w:lang w:eastAsia="es-UY"/>
        </w:rPr>
        <w:t>S</w:t>
      </w:r>
      <w:r w:rsidRPr="1A8B9FC4">
        <w:rPr>
          <w:rFonts w:cs="Microsoft Sans Serif"/>
          <w:lang w:eastAsia="es-UY"/>
        </w:rPr>
        <w:t>on responsables de la realización de un análisis de impacto en el negocio</w:t>
      </w:r>
      <w:r>
        <w:rPr>
          <w:rFonts w:cs="Microsoft Sans Serif"/>
          <w:lang w:eastAsia="es-UY"/>
        </w:rPr>
        <w:t xml:space="preserve"> (BIA)</w:t>
      </w:r>
      <w:r w:rsidRPr="1A8B9FC4">
        <w:rPr>
          <w:rFonts w:cs="Microsoft Sans Serif"/>
          <w:lang w:eastAsia="es-UY"/>
        </w:rPr>
        <w:t>, en el supuesto que los procesos críticos de sus áreas se vieran afectados.</w:t>
      </w:r>
    </w:p>
    <w:p w:rsidR="00D74AA5" w:rsidRPr="00412C35" w:rsidRDefault="00D74AA5" w:rsidP="00D74AA5">
      <w:pPr>
        <w:rPr>
          <w:rFonts w:cs="Microsoft Sans Serif"/>
          <w:lang w:eastAsia="es-UY"/>
        </w:rPr>
      </w:pPr>
    </w:p>
    <w:p w:rsidR="00D74AA5" w:rsidRPr="00412C35" w:rsidRDefault="00D74AA5" w:rsidP="00D74AA5">
      <w:pPr>
        <w:rPr>
          <w:rFonts w:cs="Microsoft Sans Serif"/>
          <w:lang w:eastAsia="es-UY"/>
        </w:rPr>
      </w:pPr>
      <w:r w:rsidRPr="1A8B9FC4">
        <w:rPr>
          <w:rFonts w:cs="Microsoft Sans Serif"/>
          <w:b/>
          <w:bCs/>
          <w:lang w:eastAsia="es-UY"/>
        </w:rPr>
        <w:t>Equipo responsable de gestión de riesgos</w:t>
      </w:r>
      <w:r w:rsidRPr="1A8B9FC4">
        <w:rPr>
          <w:rFonts w:cs="Microsoft Sans Serif"/>
          <w:lang w:eastAsia="es-UY"/>
        </w:rPr>
        <w:t xml:space="preserve"> es responsable por la identificación y evaluación de amenazas y vulnerabilidades, la determinación del riesgo y el impacto en la operativa de la organización en caso de ocurrencia. </w:t>
      </w:r>
    </w:p>
    <w:p w:rsidR="00D74AA5" w:rsidRPr="00412C35" w:rsidRDefault="00D74AA5" w:rsidP="00D74AA5">
      <w:pPr>
        <w:rPr>
          <w:rFonts w:cs="Microsoft Sans Serif"/>
          <w:lang w:eastAsia="es-UY"/>
        </w:rPr>
      </w:pPr>
    </w:p>
    <w:p w:rsidR="00D74AA5" w:rsidRPr="00412C35" w:rsidRDefault="00D74AA5" w:rsidP="00D74AA5">
      <w:pPr>
        <w:rPr>
          <w:rFonts w:cs="Microsoft Sans Serif"/>
          <w:lang w:eastAsia="es-UY"/>
        </w:rPr>
      </w:pPr>
      <w:r w:rsidRPr="47CFD225">
        <w:rPr>
          <w:rFonts w:cs="Microsoft Sans Serif"/>
          <w:b/>
          <w:bCs/>
          <w:lang w:eastAsia="es-UY"/>
        </w:rPr>
        <w:t>Comité de seguridad de la información</w:t>
      </w:r>
      <w:r w:rsidRPr="47CFD225">
        <w:rPr>
          <w:rFonts w:cs="Microsoft Sans Serif"/>
          <w:lang w:eastAsia="es-UY"/>
        </w:rPr>
        <w:t xml:space="preserve"> es responsable de revisar el plan de contingencia y de recuperación ante desastres, coordinar formalmente a los diferentes actores para la realización de las pruebas y revisar los informes de las pruebas para establecer el plan de mejora.</w:t>
      </w:r>
    </w:p>
    <w:p w:rsidR="00D74AA5" w:rsidRPr="00412C35" w:rsidRDefault="00D74AA5" w:rsidP="00D74AA5">
      <w:pPr>
        <w:rPr>
          <w:rFonts w:cs="Microsoft Sans Serif"/>
          <w:lang w:eastAsia="es-UY"/>
        </w:rPr>
      </w:pPr>
    </w:p>
    <w:p w:rsidR="00D74AA5" w:rsidRPr="00412C35" w:rsidRDefault="00D74AA5" w:rsidP="00D74AA5">
      <w:pPr>
        <w:rPr>
          <w:rFonts w:cs="Microsoft Sans Serif"/>
          <w:lang w:eastAsia="es-UY"/>
        </w:rPr>
      </w:pPr>
      <w:r w:rsidRPr="47CFD225">
        <w:rPr>
          <w:rFonts w:cs="Microsoft Sans Serif"/>
          <w:b/>
          <w:bCs/>
          <w:lang w:eastAsia="es-UY"/>
        </w:rPr>
        <w:t>Responsable de seguridad de la información</w:t>
      </w:r>
      <w:r w:rsidRPr="47CFD225">
        <w:rPr>
          <w:rFonts w:cs="Microsoft Sans Serif"/>
          <w:lang w:eastAsia="es-UY"/>
        </w:rPr>
        <w:t xml:space="preserve"> debe velar por el cumplimiento de la presente política. Es responsable por la definición y gestión del plan de contingencia y recuperación ante desastres. Es responsable de la definición de los diferentes equipos de contingencia y de la coordinación de éstos.</w:t>
      </w:r>
    </w:p>
    <w:p w:rsidR="00D74AA5" w:rsidRPr="00412C35" w:rsidRDefault="00D74AA5" w:rsidP="00D74AA5">
      <w:pPr>
        <w:rPr>
          <w:rFonts w:cs="Microsoft Sans Serif"/>
          <w:lang w:eastAsia="es-UY"/>
        </w:rPr>
      </w:pPr>
    </w:p>
    <w:p w:rsidR="00D74AA5" w:rsidRPr="00412C35" w:rsidRDefault="00D74AA5" w:rsidP="00D74AA5">
      <w:pPr>
        <w:rPr>
          <w:rFonts w:cs="Microsoft Sans Serif"/>
          <w:lang w:eastAsia="es-UY"/>
        </w:rPr>
      </w:pPr>
      <w:r w:rsidRPr="47CFD225">
        <w:rPr>
          <w:rFonts w:cs="Microsoft Sans Serif"/>
          <w:b/>
          <w:bCs/>
          <w:lang w:eastAsia="es-UY"/>
        </w:rPr>
        <w:t>Responsable de tecnología de la información</w:t>
      </w:r>
      <w:r w:rsidRPr="47CFD225">
        <w:rPr>
          <w:rFonts w:cs="Microsoft Sans Serif"/>
          <w:lang w:eastAsia="es-UY"/>
        </w:rPr>
        <w:t xml:space="preserve"> debe participar en la planificación técnica del plan de contingencia y recuperación en caso de desastres, en coordinación con el Responsable de Seguridad de la Información. </w:t>
      </w:r>
    </w:p>
    <w:p w:rsidR="00D74AA5" w:rsidRPr="00412C35" w:rsidRDefault="00D74AA5" w:rsidP="00D74AA5">
      <w:pPr>
        <w:rPr>
          <w:rFonts w:cs="Microsoft Sans Serif"/>
          <w:lang w:eastAsia="es-UY"/>
        </w:rPr>
      </w:pPr>
    </w:p>
    <w:p w:rsidR="00D74AA5" w:rsidRDefault="00D74AA5" w:rsidP="00D74AA5">
      <w:pPr>
        <w:rPr>
          <w:rFonts w:cs="Microsoft Sans Serif"/>
          <w:lang w:eastAsia="es-UY"/>
        </w:rPr>
      </w:pPr>
      <w:r w:rsidRPr="1A8B9FC4">
        <w:rPr>
          <w:rFonts w:cs="Microsoft Sans Serif"/>
          <w:b/>
          <w:bCs/>
          <w:lang w:eastAsia="es-UY"/>
        </w:rPr>
        <w:t>Personal de la organización</w:t>
      </w:r>
      <w:r w:rsidRPr="1A8B9FC4">
        <w:rPr>
          <w:rFonts w:cs="Microsoft Sans Serif"/>
          <w:lang w:eastAsia="es-UY"/>
        </w:rPr>
        <w:t xml:space="preserve"> debe cumplir con lo establecido en la presente política y debe participar, previa coordinación con las Gerencias, en las pruebas que se realicen al plan de contingencia y recuperación ante desastres.</w:t>
      </w:r>
    </w:p>
    <w:p w:rsidR="00D74AA5" w:rsidRPr="00412C35" w:rsidRDefault="00D74AA5" w:rsidP="00D74AA5">
      <w:pPr>
        <w:rPr>
          <w:rFonts w:cs="Microsoft Sans Serif"/>
          <w:lang w:eastAsia="es-UY"/>
        </w:rPr>
      </w:pPr>
    </w:p>
    <w:p w:rsidR="00D74AA5" w:rsidRPr="00412C35" w:rsidRDefault="00D74AA5" w:rsidP="00D74AA5">
      <w:pPr>
        <w:pStyle w:val="Ttulo1"/>
        <w:rPr>
          <w:lang w:eastAsia="es-UY"/>
        </w:rPr>
      </w:pPr>
      <w:r w:rsidRPr="5C79D62D">
        <w:rPr>
          <w:lang w:eastAsia="es-UY"/>
        </w:rPr>
        <w:t>Políticas relacionadas</w:t>
      </w:r>
    </w:p>
    <w:p w:rsidR="00D74AA5" w:rsidRDefault="00D74AA5" w:rsidP="00D74AA5">
      <w:pPr>
        <w:pStyle w:val="Ttulo1"/>
        <w:rPr>
          <w:lang w:eastAsia="es-UY"/>
        </w:rPr>
      </w:pPr>
    </w:p>
    <w:p w:rsidR="00D74AA5" w:rsidRDefault="00D74AA5" w:rsidP="00D74AA5">
      <w:pPr>
        <w:rPr>
          <w:rFonts w:cs="Microsoft Sans Serif"/>
          <w:lang w:eastAsia="es-UY"/>
        </w:rPr>
      </w:pPr>
      <w:r w:rsidRPr="00412C35">
        <w:rPr>
          <w:rFonts w:cs="Microsoft Sans Serif"/>
          <w:lang w:eastAsia="es-UY"/>
        </w:rPr>
        <w:t>Política de respaldo</w:t>
      </w:r>
      <w:r w:rsidRPr="00412C35">
        <w:rPr>
          <w:rFonts w:cs="Microsoft Sans Serif"/>
          <w:lang w:eastAsia="es-UY"/>
        </w:rPr>
        <w:br/>
        <w:t>Política de gestión de riesgos</w:t>
      </w:r>
      <w:r w:rsidRPr="00412C35">
        <w:rPr>
          <w:rFonts w:cs="Microsoft Sans Serif"/>
          <w:lang w:eastAsia="es-UY"/>
        </w:rPr>
        <w:br/>
        <w:t>Política de gestión de activos</w:t>
      </w:r>
    </w:p>
    <w:p w:rsidR="00D74AA5" w:rsidRPr="00412C35" w:rsidRDefault="00D74AA5" w:rsidP="00D74AA5">
      <w:pPr>
        <w:rPr>
          <w:rFonts w:cs="Microsoft Sans Serif"/>
          <w:lang w:eastAsia="es-UY"/>
        </w:rPr>
      </w:pPr>
    </w:p>
    <w:p w:rsidR="00D74AA5" w:rsidRPr="00412C35" w:rsidRDefault="00D74AA5" w:rsidP="00D74AA5">
      <w:pPr>
        <w:pStyle w:val="Ttulo1"/>
        <w:rPr>
          <w:lang w:eastAsia="es-UY"/>
        </w:rPr>
      </w:pPr>
      <w:r w:rsidRPr="53A786BF">
        <w:rPr>
          <w:lang w:eastAsia="es-UY"/>
        </w:rPr>
        <w:t>Descripción</w:t>
      </w:r>
    </w:p>
    <w:p w:rsidR="00D74AA5" w:rsidRPr="00412C35" w:rsidRDefault="00D74AA5" w:rsidP="00D74AA5">
      <w:pPr>
        <w:rPr>
          <w:rFonts w:cs="Microsoft Sans Serif"/>
          <w:lang w:eastAsia="es-UY"/>
        </w:rPr>
      </w:pPr>
    </w:p>
    <w:p w:rsidR="00D74AA5" w:rsidRPr="00412C35" w:rsidRDefault="00D74AA5" w:rsidP="00D74AA5">
      <w:pPr>
        <w:rPr>
          <w:rFonts w:cs="Microsoft Sans Serif"/>
          <w:lang w:eastAsia="es-UY"/>
        </w:rPr>
      </w:pPr>
      <w:r w:rsidRPr="1A8B9FC4">
        <w:rPr>
          <w:rFonts w:cs="Microsoft Sans Serif"/>
          <w:lang w:eastAsia="es-UY"/>
        </w:rPr>
        <w:t>La Dirección de la organización entiende necesario contar con un plan formal de continuidad operativa y un plan de recuperación en caso de desastres ante eventos anormales, teniendo como premisas fundamentales la seguridad y protección de las personas, los recursos y la información</w:t>
      </w:r>
      <w:r>
        <w:rPr>
          <w:rFonts w:cs="Microsoft Sans Serif"/>
          <w:lang w:eastAsia="es-UY"/>
        </w:rPr>
        <w:t>.</w:t>
      </w:r>
    </w:p>
    <w:p w:rsidR="00D74AA5" w:rsidRPr="00412C35" w:rsidRDefault="00D74AA5" w:rsidP="00D74AA5">
      <w:pPr>
        <w:rPr>
          <w:rFonts w:cs="Microsoft Sans Serif"/>
          <w:lang w:eastAsia="es-UY"/>
        </w:rPr>
      </w:pPr>
    </w:p>
    <w:p w:rsidR="00D74AA5" w:rsidRPr="00412C35" w:rsidRDefault="00D74AA5" w:rsidP="00D74AA5">
      <w:pPr>
        <w:rPr>
          <w:rFonts w:cs="Microsoft Sans Serif"/>
          <w:lang w:eastAsia="es-UY"/>
        </w:rPr>
      </w:pPr>
      <w:r w:rsidRPr="1A8B9FC4">
        <w:rPr>
          <w:rFonts w:cs="Microsoft Sans Serif"/>
          <w:lang w:eastAsia="es-UY"/>
        </w:rPr>
        <w:t xml:space="preserve">El plan de continuidad operativa deberá considerar el riesgo de interrupción de actividades por eventos tecnológicos, humanos y naturales, originados por causas internas o externas, los que estarán debidamente documentados siguiendo lo establecido en la política de gestión de riesgos. El plan deberá definir la contingencia para los procesos críticos incluyendo ventanas de tolerancia, así como un plan de recuperación para el retorno a la operativa normal de la organización. </w:t>
      </w:r>
    </w:p>
    <w:p w:rsidR="00D74AA5" w:rsidRPr="00412C35" w:rsidRDefault="00D74AA5" w:rsidP="00D74AA5">
      <w:pPr>
        <w:rPr>
          <w:rFonts w:cs="Microsoft Sans Serif"/>
          <w:lang w:eastAsia="es-UY"/>
        </w:rPr>
      </w:pPr>
    </w:p>
    <w:p w:rsidR="00D74AA5" w:rsidRPr="00412C35" w:rsidRDefault="00D74AA5" w:rsidP="00D74AA5">
      <w:pPr>
        <w:rPr>
          <w:rFonts w:cs="Microsoft Sans Serif"/>
          <w:lang w:eastAsia="es-UY"/>
        </w:rPr>
      </w:pPr>
      <w:r w:rsidRPr="53A786BF">
        <w:rPr>
          <w:rFonts w:cs="Microsoft Sans Serif"/>
          <w:lang w:eastAsia="es-UY"/>
        </w:rPr>
        <w:t>Anualmente se realizarán pruebas al plan de continuidad operativa y de recuperación en caso de desastres.</w:t>
      </w:r>
    </w:p>
    <w:p w:rsidR="00D74AA5" w:rsidRPr="00412C35" w:rsidRDefault="00D74AA5" w:rsidP="00D74AA5">
      <w:pPr>
        <w:rPr>
          <w:rFonts w:cs="Microsoft Sans Serif"/>
          <w:lang w:eastAsia="es-UY"/>
        </w:rPr>
      </w:pPr>
    </w:p>
    <w:p w:rsidR="00D74AA5" w:rsidRPr="00412C35" w:rsidRDefault="00D74AA5" w:rsidP="00D74AA5">
      <w:pPr>
        <w:rPr>
          <w:rFonts w:cs="Microsoft Sans Serif"/>
          <w:lang w:eastAsia="es-UY"/>
        </w:rPr>
      </w:pPr>
      <w:r w:rsidRPr="1A8B9FC4">
        <w:rPr>
          <w:rFonts w:cs="Microsoft Sans Serif"/>
          <w:lang w:eastAsia="es-UY"/>
        </w:rPr>
        <w:t>El Comité de Seguridad de la Información realizará la coordinación formal de las pruebas a los planes con todas las partes involucradas, facilitando la coordinación que deba realizar el Responsable de Seguridad de la Información. Éste será el encargado, en conjunto con los referentes de las Gerencias que sea necesario, de la ejecución de las pruebas al plan de contingencia y recuperación en caso de desastres, informar a la Dirección de la organización y al Comité de Seguridad de la Información del resultado de las mismas, registrar las lecciones aprendidas y confeccionar el plan de acción para la mejora.</w:t>
      </w:r>
    </w:p>
    <w:p w:rsidR="00D74AA5" w:rsidRPr="00D74AA5" w:rsidRDefault="00D74AA5"/>
    <w:p w:rsidR="00C624B2" w:rsidRDefault="00C624B2" w:rsidP="00C624B2">
      <w:pPr>
        <w:pStyle w:val="Ttulo1"/>
        <w:rPr>
          <w:lang w:eastAsia="es-UY"/>
        </w:rPr>
      </w:pPr>
      <w:r w:rsidRPr="00102E06">
        <w:rPr>
          <w:lang w:eastAsia="es-UY"/>
        </w:rPr>
        <w:t>Cumplimiento</w:t>
      </w:r>
    </w:p>
    <w:p w:rsidR="00D74AA5" w:rsidRPr="00D74AA5" w:rsidRDefault="00D74AA5" w:rsidP="00D74AA5">
      <w:pPr>
        <w:rPr>
          <w:lang w:val="es-UY" w:eastAsia="es-UY"/>
        </w:rPr>
      </w:pPr>
    </w:p>
    <w:p w:rsidR="00C624B2" w:rsidRDefault="00C624B2" w:rsidP="00C624B2">
      <w:pPr>
        <w:rPr>
          <w:rFonts w:cs="Microsoft Sans Serif"/>
          <w:lang w:eastAsia="es-UY"/>
        </w:rPr>
      </w:pPr>
      <w:r w:rsidRPr="762ADBE3">
        <w:rPr>
          <w:rFonts w:cs="Microsoft Sans Serif"/>
        </w:rPr>
        <w:t>Se destaca que el incumplimiento de la presente política aumenta la exposición de la información y el riesgo de tener un incidente de seguridad de la información.</w:t>
      </w:r>
      <w:r w:rsidRPr="762ADBE3">
        <w:rPr>
          <w:rFonts w:cs="Microsoft Sans Serif"/>
          <w:lang w:eastAsia="es-UY"/>
        </w:rPr>
        <w:t xml:space="preserve"> Ante la verificación de un incumplimiento la Dirección podrá tomar las medidas que se considere pertinentes, a efectos de darle el debido cumplimiento. </w:t>
      </w:r>
    </w:p>
    <w:p w:rsidR="00C624B2" w:rsidRDefault="00C624B2" w:rsidP="00C624B2">
      <w:pPr>
        <w:rPr>
          <w:rFonts w:eastAsiaTheme="majorEastAsia" w:cstheme="majorBidi"/>
          <w:b/>
          <w:color w:val="374C92"/>
          <w:sz w:val="28"/>
          <w:szCs w:val="32"/>
          <w:lang w:eastAsia="es-UY"/>
        </w:rPr>
      </w:pPr>
    </w:p>
    <w:p w:rsidR="00C624B2" w:rsidRPr="00412C35" w:rsidRDefault="00C624B2" w:rsidP="00C624B2">
      <w:pPr>
        <w:pStyle w:val="Ttulo1"/>
        <w:rPr>
          <w:lang w:eastAsia="es-UY"/>
        </w:rPr>
      </w:pPr>
      <w:r w:rsidRPr="00412C35">
        <w:rPr>
          <w:lang w:eastAsia="es-UY"/>
        </w:rPr>
        <w:t>Historial de revisiones</w:t>
      </w:r>
    </w:p>
    <w:p w:rsidR="00C624B2" w:rsidRPr="00412C35" w:rsidRDefault="00C624B2" w:rsidP="00C624B2">
      <w:pPr>
        <w:rPr>
          <w:rFonts w:cs="Microsoft Sans Serif"/>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62"/>
        <w:gridCol w:w="4562"/>
      </w:tblGrid>
      <w:tr w:rsidR="00C624B2" w:rsidRPr="00412C35" w:rsidTr="00A16294">
        <w:trPr>
          <w:trHeight w:val="448"/>
        </w:trPr>
        <w:tc>
          <w:tcPr>
            <w:tcW w:w="2178"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Fecha de revisión</w:t>
            </w:r>
          </w:p>
        </w:tc>
        <w:tc>
          <w:tcPr>
            <w:tcW w:w="2070"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Responsable</w:t>
            </w:r>
          </w:p>
        </w:tc>
        <w:tc>
          <w:tcPr>
            <w:tcW w:w="5328"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Resumen de cambios</w:t>
            </w:r>
          </w:p>
        </w:tc>
      </w:tr>
      <w:tr w:rsidR="00C624B2" w:rsidRPr="00412C35" w:rsidTr="00A16294">
        <w:trPr>
          <w:trHeight w:val="469"/>
        </w:trPr>
        <w:tc>
          <w:tcPr>
            <w:tcW w:w="2178" w:type="dxa"/>
            <w:shd w:val="clear" w:color="auto" w:fill="auto"/>
          </w:tcPr>
          <w:p w:rsidR="00C624B2" w:rsidRPr="00412C35" w:rsidRDefault="00C624B2" w:rsidP="00A16294">
            <w:pPr>
              <w:rPr>
                <w:rFonts w:eastAsia="Times New Roman" w:cs="Microsoft Sans Serif"/>
                <w:bCs/>
                <w:color w:val="000000"/>
                <w:lang w:eastAsia="es-UY"/>
              </w:rPr>
            </w:pPr>
          </w:p>
        </w:tc>
        <w:tc>
          <w:tcPr>
            <w:tcW w:w="2070" w:type="dxa"/>
            <w:shd w:val="clear" w:color="auto" w:fill="auto"/>
          </w:tcPr>
          <w:p w:rsidR="00C624B2" w:rsidRPr="00412C35" w:rsidRDefault="00C624B2" w:rsidP="00A16294">
            <w:pPr>
              <w:rPr>
                <w:rFonts w:eastAsia="Times New Roman" w:cs="Microsoft Sans Serif"/>
                <w:bCs/>
                <w:color w:val="000000"/>
                <w:lang w:eastAsia="es-UY"/>
              </w:rPr>
            </w:pPr>
          </w:p>
        </w:tc>
        <w:tc>
          <w:tcPr>
            <w:tcW w:w="5328" w:type="dxa"/>
            <w:shd w:val="clear" w:color="auto" w:fill="auto"/>
          </w:tcPr>
          <w:p w:rsidR="00C624B2" w:rsidRPr="00412C35" w:rsidRDefault="00C624B2" w:rsidP="00A16294">
            <w:pPr>
              <w:rPr>
                <w:rFonts w:eastAsia="Times New Roman" w:cs="Microsoft Sans Serif"/>
                <w:bCs/>
                <w:color w:val="000000"/>
                <w:lang w:eastAsia="es-UY"/>
              </w:rPr>
            </w:pPr>
          </w:p>
        </w:tc>
      </w:tr>
    </w:tbl>
    <w:p w:rsidR="00C624B2" w:rsidRPr="00412C35" w:rsidRDefault="00C624B2" w:rsidP="00C624B2">
      <w:pPr>
        <w:rPr>
          <w:rFonts w:eastAsia="Times New Roman" w:cs="Microsoft Sans Serif"/>
          <w:b/>
          <w:bCs/>
          <w:lang w:eastAsia="es-UY"/>
        </w:rPr>
      </w:pPr>
    </w:p>
    <w:p w:rsidR="00C624B2" w:rsidRDefault="00C624B2" w:rsidP="00C624B2">
      <w:pPr>
        <w:rPr>
          <w:lang w:val="es-ES"/>
        </w:rPr>
      </w:pPr>
      <w:r>
        <w:rPr>
          <w:lang w:val="es-ES"/>
        </w:rPr>
        <w:br w:type="page"/>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D38B4" w:rsidRDefault="000D38B4">
      <w:pPr>
        <w:rPr>
          <w:lang w:val="es-ES"/>
        </w:rPr>
      </w:pPr>
    </w:p>
    <w:p w:rsidR="00581ADB" w:rsidRDefault="00581ADB">
      <w:pPr>
        <w:rPr>
          <w:lang w:val="es-ES"/>
        </w:rPr>
      </w:pPr>
    </w:p>
    <w:p w:rsidR="000D38B4" w:rsidRDefault="00082091" w:rsidP="00082091">
      <w:pPr>
        <w:ind w:left="-1560"/>
        <w:rPr>
          <w:lang w:val="es-ES"/>
        </w:rPr>
      </w:pPr>
      <w:r>
        <w:rPr>
          <w:noProof/>
          <w:lang w:val="es-UY" w:eastAsia="es-UY"/>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DE" w:rsidRDefault="007937DE" w:rsidP="000D38B4">
      <w:r>
        <w:separator/>
      </w:r>
    </w:p>
  </w:endnote>
  <w:endnote w:type="continuationSeparator" w:id="0">
    <w:p w:rsidR="007937DE" w:rsidRDefault="007937DE"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Light">
    <w:altName w:val="Courier New"/>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DE" w:rsidRDefault="007937DE" w:rsidP="000D38B4">
      <w:r>
        <w:separator/>
      </w:r>
    </w:p>
  </w:footnote>
  <w:footnote w:type="continuationSeparator" w:id="0">
    <w:p w:rsidR="007937DE" w:rsidRDefault="007937DE" w:rsidP="000D3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A5"/>
    <w:rsid w:val="00082091"/>
    <w:rsid w:val="000D38B4"/>
    <w:rsid w:val="0011079F"/>
    <w:rsid w:val="00365975"/>
    <w:rsid w:val="003B1C56"/>
    <w:rsid w:val="00581ADB"/>
    <w:rsid w:val="005F5AD5"/>
    <w:rsid w:val="0063230A"/>
    <w:rsid w:val="007937DE"/>
    <w:rsid w:val="00862773"/>
    <w:rsid w:val="00AE1594"/>
    <w:rsid w:val="00B52E01"/>
    <w:rsid w:val="00C15334"/>
    <w:rsid w:val="00C624B2"/>
    <w:rsid w:val="00C92891"/>
    <w:rsid w:val="00D74AA5"/>
    <w:rsid w:val="762ADB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FD0"/>
  <w15:chartTrackingRefBased/>
  <w15:docId w15:val="{C45EC11C-2E67-4D1E-BE4F-2520C53E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paragraph" w:styleId="Ttulo2">
    <w:name w:val="heading 2"/>
    <w:basedOn w:val="Normal"/>
    <w:next w:val="Normal"/>
    <w:link w:val="Ttulo2Car"/>
    <w:uiPriority w:val="9"/>
    <w:semiHidden/>
    <w:unhideWhenUsed/>
    <w:qFormat/>
    <w:rsid w:val="00D74A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Ttulo">
    <w:name w:val="Title"/>
    <w:basedOn w:val="Normal"/>
    <w:next w:val="Normal"/>
    <w:link w:val="Ttul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 w:type="character" w:customStyle="1" w:styleId="Ttulo2Car">
    <w:name w:val="Título 2 Car"/>
    <w:basedOn w:val="Fuentedeprrafopredeter"/>
    <w:link w:val="Ttulo2"/>
    <w:uiPriority w:val="9"/>
    <w:semiHidden/>
    <w:rsid w:val="00D74A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na.ferreira\Downloads\template%20Politica%20MCU.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654D32F41C0C4BBBB136A0AB5ED2EB" ma:contentTypeVersion="15" ma:contentTypeDescription="Create a new document." ma:contentTypeScope="" ma:versionID="b13c572baa55fae6c81febbaece086e9">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d76db151b5762833b388d1137e832570"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6B52A-76DC-4447-9FBE-BA2C156FEB1B}">
  <ds:schemaRefs>
    <ds:schemaRef ds:uri="http://schemas.microsoft.com/sharepoint/v3/contenttype/forms"/>
  </ds:schemaRefs>
</ds:datastoreItem>
</file>

<file path=customXml/itemProps2.xml><?xml version="1.0" encoding="utf-8"?>
<ds:datastoreItem xmlns:ds="http://schemas.openxmlformats.org/officeDocument/2006/customXml" ds:itemID="{60409DAD-D400-496F-908C-4AAA8575D86E}">
  <ds:schemaRefs>
    <ds:schemaRef ds:uri="http://schemas.microsoft.com/office/2006/metadata/properties"/>
    <ds:schemaRef ds:uri="http://schemas.microsoft.com/office/infopath/2007/PartnerControls"/>
    <ds:schemaRef ds:uri="b1f0de35-1437-4539-8539-632ee4ed0d3b"/>
    <ds:schemaRef ds:uri="1d36ff73-39f8-44c4-a830-f302c958ceff"/>
  </ds:schemaRefs>
</ds:datastoreItem>
</file>

<file path=customXml/itemProps3.xml><?xml version="1.0" encoding="utf-8"?>
<ds:datastoreItem xmlns:ds="http://schemas.openxmlformats.org/officeDocument/2006/customXml" ds:itemID="{10592B65-8F92-41CE-AA8A-B959EC1D437C}"/>
</file>

<file path=docProps/app.xml><?xml version="1.0" encoding="utf-8"?>
<Properties xmlns="http://schemas.openxmlformats.org/officeDocument/2006/extended-properties" xmlns:vt="http://schemas.openxmlformats.org/officeDocument/2006/docPropsVTypes">
  <Template>template Politica MCU.dotx</Template>
  <TotalTime>3</TotalTime>
  <Pages>6</Pages>
  <Words>920</Words>
  <Characters>5066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Ferreira</dc:creator>
  <cp:keywords/>
  <dc:description/>
  <cp:lastModifiedBy>Silvina Ferreira</cp:lastModifiedBy>
  <cp:revision>1</cp:revision>
  <dcterms:created xsi:type="dcterms:W3CDTF">2022-06-28T16:09:00Z</dcterms:created>
  <dcterms:modified xsi:type="dcterms:W3CDTF">2022-06-28T16:14:00Z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y fmtid="{D5CDD505-2E9C-101B-9397-08002B2CF9AE}" pid="3" name="MediaServiceImageTags">
    <vt:lpwstr/>
  </property>
</Properties>
</file>