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862773" w:rsidP="000D38B4">
          <w:pPr>
            <w:ind w:left="-1701"/>
          </w:pPr>
          <w:r>
            <w:rPr>
              <w:noProof/>
              <w:lang w:val="es-UY" w:eastAsia="es-UY"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  <w:lang w:val="es-UY" w:eastAsia="es-UY"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 w:rsidP="00AE1594">
          <w:pPr>
            <w:jc w:val="center"/>
            <w:rPr>
              <w:lang w:val="es-ES"/>
            </w:rPr>
          </w:pPr>
        </w:p>
        <w:p w:rsidR="000D38B4" w:rsidRDefault="003B20D7" w:rsidP="00AE1594">
          <w:pPr>
            <w:rPr>
              <w:lang w:val="es-ES"/>
            </w:rPr>
          </w:pPr>
        </w:p>
      </w:sdtContent>
    </w:sdt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Pr="000D38B4" w:rsidRDefault="000D38B4">
      <w:pPr>
        <w:rPr>
          <w:color w:val="05418E"/>
          <w:lang w:val="es-ES"/>
        </w:rPr>
      </w:pPr>
    </w:p>
    <w:p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:rsidR="000D38B4" w:rsidRDefault="000D38B4">
      <w:pPr>
        <w:rPr>
          <w:lang w:val="es-ES"/>
        </w:rPr>
      </w:pPr>
    </w:p>
    <w:p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:rsidR="000D38B4" w:rsidRPr="000D38B4" w:rsidRDefault="000D38B4">
      <w:pPr>
        <w:rPr>
          <w:color w:val="262626" w:themeColor="text1" w:themeTint="D9"/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3B20D7">
        <w:rPr>
          <w:lang w:val="es-ES"/>
        </w:rPr>
        <w:t xml:space="preserve"> </w:t>
      </w:r>
      <w:r w:rsidR="003B20D7" w:rsidRPr="003B20D7">
        <w:rPr>
          <w:lang w:val="es-ES"/>
        </w:rPr>
        <w:t>Control de acceso lógico</w:t>
      </w:r>
    </w:p>
    <w:p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033"/>
        <w:gridCol w:w="1542"/>
        <w:gridCol w:w="2780"/>
      </w:tblGrid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3B20D7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</w:t>
            </w:r>
            <w:r w:rsidR="00C624B2"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3B20D7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11</w:t>
            </w:r>
            <w:r w:rsidR="00C624B2" w:rsidRPr="00412C35">
              <w:rPr>
                <w:rFonts w:cs="Microsoft Sans Serif"/>
              </w:rPr>
              <w:t>/</w:t>
            </w:r>
            <w:r w:rsidR="00C624B2">
              <w:rPr>
                <w:rFonts w:cs="Microsoft Sans Serif"/>
              </w:rPr>
              <w:t>0</w:t>
            </w:r>
            <w:r>
              <w:rPr>
                <w:rFonts w:cs="Microsoft Sans Serif"/>
              </w:rPr>
              <w:t>7</w:t>
            </w:r>
            <w:r w:rsidR="00C624B2">
              <w:rPr>
                <w:rFonts w:cs="Microsoft Sans Serif"/>
              </w:rPr>
              <w:t>5</w:t>
            </w:r>
            <w:r w:rsidR="00C624B2" w:rsidRPr="00412C35">
              <w:rPr>
                <w:rFonts w:cs="Microsoft Sans Serif"/>
              </w:rPr>
              <w:t>/20</w:t>
            </w:r>
            <w:r w:rsidR="00C624B2"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:rsidR="00C624B2" w:rsidRDefault="00C624B2">
      <w:pPr>
        <w:rPr>
          <w:lang w:val="es-ES"/>
        </w:rPr>
      </w:pPr>
    </w:p>
    <w:p w:rsidR="003B20D7" w:rsidRPr="003B20D7" w:rsidRDefault="003B20D7" w:rsidP="003B20D7">
      <w:pPr>
        <w:pStyle w:val="Ttulo1"/>
      </w:pPr>
      <w:r w:rsidRPr="003B20D7">
        <w:t>Objetivo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lang w:val="es-ES"/>
        </w:rPr>
        <w:t>Establecer los lineamientos generales para controlar el acceso lógico a los activos de información.</w:t>
      </w:r>
    </w:p>
    <w:p w:rsid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pStyle w:val="Ttulo1"/>
      </w:pPr>
      <w:r w:rsidRPr="003B20D7">
        <w:t>Alcance</w:t>
      </w:r>
    </w:p>
    <w:p w:rsidR="003B20D7" w:rsidRPr="003B20D7" w:rsidRDefault="003B20D7" w:rsidP="003B20D7">
      <w:pPr>
        <w:rPr>
          <w:lang w:val="es-ES"/>
        </w:rPr>
      </w:pPr>
    </w:p>
    <w:p w:rsidR="003B20D7" w:rsidRDefault="003B20D7" w:rsidP="003B20D7">
      <w:pPr>
        <w:rPr>
          <w:lang w:val="es-ES"/>
        </w:rPr>
      </w:pPr>
      <w:r w:rsidRPr="003B20D7">
        <w:rPr>
          <w:lang w:val="es-ES"/>
        </w:rPr>
        <w:t>Todo el personal o proveedores que presten servicios a la organización que requieran acceso lógico a la red, recursos de red y/o cualquier sistema de información de la organización.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pStyle w:val="Ttulo1"/>
      </w:pPr>
      <w:r w:rsidRPr="003B20D7">
        <w:t>Responsabilidades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b/>
          <w:lang w:val="es-ES"/>
        </w:rPr>
        <w:t>Responsable de seguridad de la información</w:t>
      </w:r>
      <w:r w:rsidRPr="003B20D7">
        <w:rPr>
          <w:lang w:val="es-ES"/>
        </w:rPr>
        <w:t xml:space="preserve"> debe velar por el cumplimiento de la presente política. 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b/>
          <w:lang w:val="es-ES"/>
        </w:rPr>
        <w:t>Propietarios de los activos</w:t>
      </w:r>
      <w:r w:rsidRPr="003B20D7">
        <w:rPr>
          <w:lang w:val="es-ES"/>
        </w:rPr>
        <w:t xml:space="preserve"> son responsables por definir y autorizar los derechos y restricciones de acceso a los activos de información, considerando la política de clasificación de la información.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b/>
          <w:lang w:val="es-ES"/>
        </w:rPr>
        <w:t>Gestión humana</w:t>
      </w:r>
      <w:r w:rsidRPr="003B20D7">
        <w:rPr>
          <w:lang w:val="es-ES"/>
        </w:rPr>
        <w:t xml:space="preserve"> es responsable por comunicar a las gerencias de área y a los propietarios de activos, en tiempo y forma las altas, bajas y modificaciones que sean necesarias en relación al personal para que se gestionen los accesos lógicos en tiempo y forma.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b/>
          <w:lang w:val="es-ES"/>
        </w:rPr>
        <w:t>Responsable de tecnología de la información</w:t>
      </w:r>
      <w:r w:rsidRPr="003B20D7">
        <w:rPr>
          <w:lang w:val="es-ES"/>
        </w:rPr>
        <w:t xml:space="preserve"> es responsable de la asignación técnica de los accesos a la red, recursos de red y/o cualquier sistema de información de la organización luego de recibida la autorización correspondiente por parte de los propietarios de los activos.</w:t>
      </w:r>
    </w:p>
    <w:p w:rsid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pStyle w:val="Ttulo1"/>
      </w:pPr>
      <w:r w:rsidRPr="003B20D7">
        <w:t>Políticas relacionadas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lang w:val="es-ES"/>
        </w:rPr>
        <w:t>Política de Gestión de usuarios y contraseñas</w:t>
      </w:r>
    </w:p>
    <w:p w:rsidR="003B20D7" w:rsidRPr="003B20D7" w:rsidRDefault="003B20D7" w:rsidP="003B20D7">
      <w:pPr>
        <w:rPr>
          <w:lang w:val="es-ES"/>
        </w:rPr>
      </w:pPr>
      <w:r w:rsidRPr="003B20D7">
        <w:rPr>
          <w:lang w:val="es-ES"/>
        </w:rPr>
        <w:t>Política de Finalización o cambio de relación laboral</w:t>
      </w:r>
    </w:p>
    <w:p w:rsidR="003B20D7" w:rsidRDefault="003B20D7">
      <w:pPr>
        <w:rPr>
          <w:lang w:val="es-ES"/>
        </w:rPr>
      </w:pPr>
      <w:r>
        <w:rPr>
          <w:lang w:val="es-ES"/>
        </w:rPr>
        <w:br w:type="page"/>
      </w:r>
    </w:p>
    <w:p w:rsidR="003B20D7" w:rsidRPr="003B20D7" w:rsidRDefault="003B20D7" w:rsidP="003B20D7">
      <w:pPr>
        <w:pStyle w:val="Ttulo1"/>
      </w:pPr>
      <w:r w:rsidRPr="003B20D7">
        <w:t>Descripción</w:t>
      </w:r>
    </w:p>
    <w:p w:rsidR="003B20D7" w:rsidRPr="003B20D7" w:rsidRDefault="003B20D7" w:rsidP="003B20D7">
      <w:pPr>
        <w:rPr>
          <w:lang w:val="es-ES"/>
        </w:rPr>
      </w:pPr>
    </w:p>
    <w:p w:rsidR="003B20D7" w:rsidRDefault="003B20D7" w:rsidP="003B20D7">
      <w:pPr>
        <w:rPr>
          <w:lang w:val="es-ES"/>
        </w:rPr>
      </w:pPr>
      <w:r>
        <w:rPr>
          <w:lang w:val="es-ES"/>
        </w:rPr>
        <w:t>La organización debe:</w:t>
      </w:r>
    </w:p>
    <w:p w:rsidR="003B20D7" w:rsidRPr="003B20D7" w:rsidRDefault="003B20D7" w:rsidP="003B20D7">
      <w:pPr>
        <w:pStyle w:val="Prrafodelista"/>
        <w:numPr>
          <w:ilvl w:val="0"/>
          <w:numId w:val="1"/>
        </w:numPr>
        <w:rPr>
          <w:lang w:val="es-ES"/>
        </w:rPr>
      </w:pPr>
      <w:r w:rsidRPr="003B20D7">
        <w:rPr>
          <w:lang w:val="es-ES"/>
        </w:rPr>
        <w:t>Determinar los mecanismos de autorización de acceso a los activos de información</w:t>
      </w:r>
    </w:p>
    <w:p w:rsidR="003B20D7" w:rsidRPr="003B20D7" w:rsidRDefault="003B20D7" w:rsidP="003B20D7">
      <w:pPr>
        <w:pStyle w:val="Prrafodelista"/>
        <w:numPr>
          <w:ilvl w:val="0"/>
          <w:numId w:val="1"/>
        </w:numPr>
        <w:rPr>
          <w:lang w:val="es-ES"/>
        </w:rPr>
      </w:pPr>
      <w:r w:rsidRPr="003B20D7">
        <w:rPr>
          <w:lang w:val="es-ES"/>
        </w:rPr>
        <w:t>Contar al menos con un procedimiento formalmente definido para gestionar y controlar los accesos lógicos en la organización que contemple al menos la solicitud, aprobación, revocación y notificación de las solicitudes de autorización de acceso.</w:t>
      </w:r>
    </w:p>
    <w:p w:rsidR="003B20D7" w:rsidRPr="003B20D7" w:rsidRDefault="003B20D7" w:rsidP="003B20D7">
      <w:pPr>
        <w:pStyle w:val="Prrafodelista"/>
        <w:numPr>
          <w:ilvl w:val="0"/>
          <w:numId w:val="1"/>
        </w:numPr>
        <w:rPr>
          <w:lang w:val="es-ES"/>
        </w:rPr>
      </w:pPr>
      <w:r w:rsidRPr="003B20D7">
        <w:rPr>
          <w:lang w:val="es-ES"/>
        </w:rPr>
        <w:t xml:space="preserve">Contar con un procedimiento formalmente definido para la revisión de los derechos de acceso lógicos. El resultado de la revisión debe ser documentado e informado al responsable de seguridad de la información, a las gerencias y a los propietarios de los activos. </w:t>
      </w:r>
    </w:p>
    <w:p w:rsidR="003B20D7" w:rsidRPr="003B20D7" w:rsidRDefault="003B20D7" w:rsidP="003B20D7">
      <w:pPr>
        <w:pStyle w:val="Prrafodelista"/>
        <w:numPr>
          <w:ilvl w:val="0"/>
          <w:numId w:val="1"/>
        </w:numPr>
        <w:rPr>
          <w:lang w:val="es-ES"/>
        </w:rPr>
      </w:pPr>
      <w:r w:rsidRPr="003B20D7">
        <w:rPr>
          <w:lang w:val="es-ES"/>
        </w:rPr>
        <w:t>Definir la periodicidad de las revisiones de acceso lógico.</w:t>
      </w:r>
    </w:p>
    <w:p w:rsid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lang w:val="es-ES"/>
        </w:rPr>
        <w:t>Las autorizaciones de acceso deben habilitar el acceso a la información mínima necesaria para el cumplimiento de las tareas asignadas.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lang w:val="es-ES"/>
        </w:rPr>
        <w:t>La autorización de acceso a activos de información para proveedores u organizaciones externas requiere de acuerdos específicos aprobados por la Dirección o por quien ésta designe.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lang w:val="es-ES"/>
        </w:rPr>
        <w:t>En relación al acceso de los usuarios privilegiados se deberá mantener un registro de los privilegios asignados en cada sistema o red.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lang w:val="es-ES"/>
        </w:rPr>
        <w:t>No se podrá otorgar derechos de acceso sin haberse completado el proceso de autorización.</w:t>
      </w:r>
    </w:p>
    <w:p w:rsidR="003B20D7" w:rsidRPr="003B20D7" w:rsidRDefault="003B20D7" w:rsidP="003B20D7">
      <w:pPr>
        <w:rPr>
          <w:lang w:val="es-ES"/>
        </w:rPr>
      </w:pPr>
    </w:p>
    <w:p w:rsidR="003B20D7" w:rsidRPr="003B20D7" w:rsidRDefault="003B20D7" w:rsidP="003B20D7">
      <w:pPr>
        <w:rPr>
          <w:lang w:val="es-ES"/>
        </w:rPr>
      </w:pPr>
      <w:r w:rsidRPr="003B20D7">
        <w:rPr>
          <w:lang w:val="es-ES"/>
        </w:rPr>
        <w:t>Queda prohibido el uso de códigos de usuarios o contraseñas embebidas, o cualquier otro mecanismo que permita el acceso salteando las reglas de seguridad establecidas por la organización.</w:t>
      </w:r>
    </w:p>
    <w:p w:rsidR="003B20D7" w:rsidRPr="003B20D7" w:rsidRDefault="003B20D7" w:rsidP="003B20D7">
      <w:pPr>
        <w:rPr>
          <w:lang w:val="es-ES"/>
        </w:rPr>
      </w:pPr>
    </w:p>
    <w:p w:rsidR="00C624B2" w:rsidRDefault="00C624B2">
      <w:pPr>
        <w:rPr>
          <w:lang w:val="es-ES"/>
        </w:rPr>
      </w:pPr>
    </w:p>
    <w:p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:rsidR="00C624B2" w:rsidRDefault="00C624B2" w:rsidP="00C624B2">
      <w:pPr>
        <w:rPr>
          <w:rFonts w:cs="Microsoft Sans Serif"/>
          <w:lang w:eastAsia="es-UY"/>
        </w:rPr>
      </w:pPr>
      <w:r w:rsidRPr="762ADBE3">
        <w:rPr>
          <w:rFonts w:cs="Microsoft Sans Serif"/>
        </w:rPr>
        <w:t>Se destaca que el incumplimiento de la presente política aumenta la exposición de la información y el riesgo de tener un incidente de seguridad de la información.</w:t>
      </w:r>
      <w:r w:rsidRPr="762ADBE3">
        <w:rPr>
          <w:rFonts w:cs="Microsoft Sans Serif"/>
          <w:lang w:eastAsia="es-UY"/>
        </w:rPr>
        <w:t xml:space="preserve"> Ante la verificación de un incumplimiento la Dirección podrá tomar las medidas que se considere pertinentes, a efectos de darle el debido cumplimiento. </w:t>
      </w:r>
    </w:p>
    <w:p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:rsidTr="00A16294">
        <w:trPr>
          <w:trHeight w:val="448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:rsidTr="00A16294">
        <w:trPr>
          <w:trHeight w:val="469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  <w:bookmarkStart w:id="0" w:name="_GoBack"/>
      <w:bookmarkEnd w:id="0"/>
    </w:p>
    <w:p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581ADB" w:rsidRDefault="00581ADB">
      <w:pPr>
        <w:rPr>
          <w:lang w:val="es-ES"/>
        </w:rPr>
      </w:pPr>
    </w:p>
    <w:p w:rsidR="000D38B4" w:rsidRDefault="00082091" w:rsidP="00082091">
      <w:pPr>
        <w:ind w:left="-1560"/>
        <w:rPr>
          <w:lang w:val="es-ES"/>
        </w:rPr>
      </w:pPr>
      <w:r>
        <w:rPr>
          <w:noProof/>
          <w:lang w:val="es-UY" w:eastAsia="es-UY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B3" w:rsidRDefault="00003BB3" w:rsidP="000D38B4">
      <w:r>
        <w:separator/>
      </w:r>
    </w:p>
  </w:endnote>
  <w:endnote w:type="continuationSeparator" w:id="0">
    <w:p w:rsidR="00003BB3" w:rsidRDefault="00003BB3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B3" w:rsidRDefault="00003BB3" w:rsidP="000D38B4">
      <w:r>
        <w:separator/>
      </w:r>
    </w:p>
  </w:footnote>
  <w:footnote w:type="continuationSeparator" w:id="0">
    <w:p w:rsidR="00003BB3" w:rsidRDefault="00003BB3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9AD"/>
    <w:multiLevelType w:val="hybridMultilevel"/>
    <w:tmpl w:val="DB26DE6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E"/>
    <w:rsid w:val="00003BB3"/>
    <w:rsid w:val="00082091"/>
    <w:rsid w:val="000D38B4"/>
    <w:rsid w:val="0011079F"/>
    <w:rsid w:val="00365975"/>
    <w:rsid w:val="003B1C56"/>
    <w:rsid w:val="003B20D7"/>
    <w:rsid w:val="00581ADB"/>
    <w:rsid w:val="005F5AD5"/>
    <w:rsid w:val="0063230A"/>
    <w:rsid w:val="00862773"/>
    <w:rsid w:val="00AE1594"/>
    <w:rsid w:val="00AF28AE"/>
    <w:rsid w:val="00B52E01"/>
    <w:rsid w:val="00C15334"/>
    <w:rsid w:val="00C624B2"/>
    <w:rsid w:val="00C92891"/>
    <w:rsid w:val="762A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FD796"/>
  <w15:chartTrackingRefBased/>
  <w15:docId w15:val="{5439A33B-4638-4C6D-96C9-229929F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Prrafodelista">
    <w:name w:val="List Paragraph"/>
    <w:basedOn w:val="Normal"/>
    <w:uiPriority w:val="34"/>
    <w:qFormat/>
    <w:rsid w:val="003B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141.51\Privados\Seguridad%20de%20la%20Informaci&#243;n\Gesti&#243;n%20y%20auditoria\Procesos\template%20Politica%20MC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7896B52A-76DC-4447-9FBE-BA2C156FE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70CFC-128D-4AE6-BF0B-3AFD87998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de35-1437-4539-8539-632ee4ed0d3b"/>
    <ds:schemaRef ds:uri="1d36ff73-39f8-44c4-a830-f302c958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09DAD-D400-496F-908C-4AAA8575D86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d36ff73-39f8-44c4-a830-f302c958ceff"/>
    <ds:schemaRef ds:uri="http://purl.org/dc/terms/"/>
    <ds:schemaRef ds:uri="b1f0de35-1437-4539-8539-632ee4ed0d3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Politica MCU.dotx</Template>
  <TotalTime>0</TotalTime>
  <Pages>5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Ferreira</dc:creator>
  <cp:keywords/>
  <dc:description/>
  <cp:lastModifiedBy>Silvina Ferreira</cp:lastModifiedBy>
  <cp:revision>2</cp:revision>
  <dcterms:created xsi:type="dcterms:W3CDTF">2022-07-14T15:53:00Z</dcterms:created>
  <dcterms:modified xsi:type="dcterms:W3CDTF">2022-07-14T15:53:00Z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  <property fmtid="{D5CDD505-2E9C-101B-9397-08002B2CF9AE}" pid="3" name="MediaServiceImageTags">
    <vt:lpwstr/>
  </property>
</Properties>
</file>