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99287978"/>
        <w:docPartObj>
          <w:docPartGallery w:val="Cover Pages"/>
          <w:docPartUnique/>
        </w:docPartObj>
      </w:sdtPr>
      <w:sdtEndPr>
        <w:rPr>
          <w:lang w:val="es-ES"/>
        </w:rPr>
      </w:sdtEndPr>
      <w:sdtContent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0D38B4" w:rsidP="000D38B4">
          <w:pPr>
            <w:ind w:left="-1701"/>
          </w:pPr>
        </w:p>
        <w:p w:rsidR="000D38B4" w:rsidRDefault="00862773" w:rsidP="000D38B4">
          <w:pPr>
            <w:ind w:left="-1701"/>
          </w:pPr>
          <w:r>
            <w:rPr>
              <w:noProof/>
              <w:lang w:val="es-UY" w:eastAsia="es-UY"/>
            </w:rPr>
            <w:drawing>
              <wp:inline distT="0" distB="0" distL="0" distR="0" wp14:anchorId="4AB837DC" wp14:editId="230B0784">
                <wp:extent cx="7540831" cy="6482204"/>
                <wp:effectExtent l="0" t="0" r="3175" b="0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907" cy="6494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862773" w:rsidP="00862773">
          <w:pPr>
            <w:jc w:val="center"/>
            <w:rPr>
              <w:lang w:val="es-ES"/>
            </w:rPr>
          </w:pPr>
          <w:r w:rsidRPr="00AE1594">
            <w:rPr>
              <w:noProof/>
              <w:lang w:val="es-UY" w:eastAsia="es-UY"/>
            </w:rPr>
            <w:drawing>
              <wp:inline distT="0" distB="0" distL="0" distR="0" wp14:anchorId="7F00D446" wp14:editId="5DDC6B01">
                <wp:extent cx="2694129" cy="504063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129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>
          <w:pPr>
            <w:rPr>
              <w:lang w:val="es-ES"/>
            </w:rPr>
          </w:pPr>
        </w:p>
        <w:p w:rsidR="000D38B4" w:rsidRDefault="000D38B4" w:rsidP="00AE1594">
          <w:pPr>
            <w:jc w:val="center"/>
            <w:rPr>
              <w:lang w:val="es-ES"/>
            </w:rPr>
          </w:pPr>
        </w:p>
        <w:p w:rsidR="000D38B4" w:rsidRDefault="0057774E" w:rsidP="00AE1594">
          <w:pPr>
            <w:rPr>
              <w:lang w:val="es-ES"/>
            </w:rPr>
          </w:pPr>
        </w:p>
      </w:sdtContent>
    </w:sdt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Pr="000D38B4" w:rsidRDefault="000D38B4">
      <w:pPr>
        <w:rPr>
          <w:color w:val="05418E"/>
          <w:lang w:val="es-ES"/>
        </w:rPr>
      </w:pPr>
    </w:p>
    <w:p w:rsidR="000D38B4" w:rsidRPr="000D38B4" w:rsidRDefault="000D38B4" w:rsidP="000D38B4">
      <w:pPr>
        <w:rPr>
          <w:rFonts w:ascii="Montserrat Light" w:hAnsi="Montserrat Light"/>
          <w:color w:val="05418E"/>
          <w:sz w:val="50"/>
          <w:szCs w:val="50"/>
        </w:rPr>
      </w:pPr>
      <w:r w:rsidRPr="000D38B4">
        <w:rPr>
          <w:rFonts w:ascii="Montserrat Light" w:hAnsi="Montserrat Light"/>
          <w:color w:val="05418E"/>
          <w:sz w:val="50"/>
          <w:szCs w:val="50"/>
        </w:rPr>
        <w:t>SEGURIDAD DE LA</w:t>
      </w:r>
    </w:p>
    <w:p w:rsidR="000D38B4" w:rsidRPr="000D38B4" w:rsidRDefault="00082091">
      <w:pPr>
        <w:rPr>
          <w:rFonts w:ascii="Montserrat Light" w:hAnsi="Montserrat Light"/>
          <w:color w:val="05418E"/>
          <w:sz w:val="50"/>
          <w:szCs w:val="50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 wp14:anchorId="49347C4E" wp14:editId="2EF9988C">
            <wp:simplePos x="0" y="0"/>
            <wp:positionH relativeFrom="column">
              <wp:posOffset>0</wp:posOffset>
            </wp:positionH>
            <wp:positionV relativeFrom="paragraph">
              <wp:posOffset>155130</wp:posOffset>
            </wp:positionV>
            <wp:extent cx="5391150" cy="4514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8B4" w:rsidRPr="000D38B4">
        <w:rPr>
          <w:rFonts w:ascii="Montserrat Light" w:hAnsi="Montserrat Light"/>
          <w:color w:val="05418E"/>
          <w:sz w:val="50"/>
          <w:szCs w:val="50"/>
        </w:rPr>
        <w:t>INFORMACIÓN</w:t>
      </w:r>
    </w:p>
    <w:p w:rsidR="000D38B4" w:rsidRDefault="000D38B4">
      <w:pPr>
        <w:rPr>
          <w:lang w:val="es-ES"/>
        </w:rPr>
      </w:pPr>
    </w:p>
    <w:p w:rsidR="00082091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:rsidR="000D38B4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Este documento ha sido elaborado por Agesic (Agencia para el Desarrollo del Gobierno de Gestión Electrónica y la Sociedad de la Información y el Conocimiento).</w:t>
      </w:r>
    </w:p>
    <w:p w:rsidR="00082091" w:rsidRPr="00581ADB" w:rsidRDefault="00082091" w:rsidP="000D38B4">
      <w:pPr>
        <w:rPr>
          <w:rFonts w:ascii="Montserrat Light" w:hAnsi="Montserrat Light"/>
          <w:color w:val="262626" w:themeColor="text1" w:themeTint="D9"/>
        </w:rPr>
      </w:pPr>
    </w:p>
    <w:p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 xml:space="preserve">El Marco de Ciberseguridad es un conjunto de requisitos (requisitos normativos y buenas prácticas) que se entienden necesarios para la mejora de la seguridad de la información y la ciberseguridad. </w:t>
      </w:r>
    </w:p>
    <w:p w:rsidR="000D38B4" w:rsidRPr="00581ADB" w:rsidRDefault="000D38B4" w:rsidP="000D38B4">
      <w:pPr>
        <w:rPr>
          <w:rFonts w:ascii="Montserrat Light" w:hAnsi="Montserrat Light"/>
          <w:color w:val="262626" w:themeColor="text1" w:themeTint="D9"/>
        </w:rPr>
      </w:pPr>
      <w:r w:rsidRPr="00581ADB">
        <w:rPr>
          <w:rFonts w:ascii="Montserrat Light" w:hAnsi="Montserrat Light"/>
          <w:color w:val="262626" w:themeColor="text1" w:themeTint="D9"/>
        </w:rPr>
        <w:t>Usted es libre de copiar, distribuir, comunicar y difundir públicamente este documento, así como hacer obras derivadas, siempre y cuando tenga en cuenta citar la obra de forma específica.</w:t>
      </w:r>
    </w:p>
    <w:p w:rsidR="000D38B4" w:rsidRPr="000D38B4" w:rsidRDefault="000D38B4">
      <w:pPr>
        <w:rPr>
          <w:color w:val="262626" w:themeColor="text1" w:themeTint="D9"/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C624B2" w:rsidRDefault="00C624B2">
      <w:pPr>
        <w:rPr>
          <w:lang w:val="es-ES"/>
        </w:rPr>
      </w:pPr>
      <w:r>
        <w:rPr>
          <w:lang w:val="es-ES"/>
        </w:rPr>
        <w:br w:type="page"/>
      </w:r>
    </w:p>
    <w:p w:rsidR="000D38B4" w:rsidRDefault="00C624B2" w:rsidP="00C624B2">
      <w:pPr>
        <w:pStyle w:val="Ttulo"/>
        <w:rPr>
          <w:lang w:val="es-ES"/>
        </w:rPr>
      </w:pPr>
      <w:r>
        <w:rPr>
          <w:lang w:val="es-ES"/>
        </w:rPr>
        <w:lastRenderedPageBreak/>
        <w:t>Política de</w:t>
      </w:r>
      <w:r w:rsidR="00204E01">
        <w:rPr>
          <w:lang w:val="es-ES"/>
        </w:rPr>
        <w:t xml:space="preserve"> </w:t>
      </w:r>
      <w:r w:rsidR="00204E01" w:rsidRPr="00204E01">
        <w:rPr>
          <w:lang w:val="es-ES"/>
        </w:rPr>
        <w:t>Protección contra software malicioso</w:t>
      </w:r>
    </w:p>
    <w:p w:rsidR="000D38B4" w:rsidRDefault="000D38B4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029"/>
        <w:gridCol w:w="1542"/>
        <w:gridCol w:w="2783"/>
      </w:tblGrid>
      <w:tr w:rsidR="00C624B2" w:rsidRPr="00412C35" w:rsidTr="00A16294">
        <w:tc>
          <w:tcPr>
            <w:tcW w:w="2161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Versión</w:t>
            </w:r>
          </w:p>
        </w:tc>
        <w:tc>
          <w:tcPr>
            <w:tcW w:w="2058" w:type="dxa"/>
            <w:shd w:val="clear" w:color="auto" w:fill="auto"/>
          </w:tcPr>
          <w:p w:rsidR="00C624B2" w:rsidRPr="00412C35" w:rsidRDefault="00204E01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2</w:t>
            </w:r>
            <w:r w:rsidR="00C624B2" w:rsidRPr="00412C35">
              <w:rPr>
                <w:rFonts w:cs="Microsoft Sans Serif"/>
              </w:rPr>
              <w:t>.0</w:t>
            </w:r>
          </w:p>
        </w:tc>
        <w:tc>
          <w:tcPr>
            <w:tcW w:w="1559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Categoría</w:t>
            </w:r>
          </w:p>
        </w:tc>
        <w:tc>
          <w:tcPr>
            <w:tcW w:w="2866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Política</w:t>
            </w:r>
          </w:p>
        </w:tc>
      </w:tr>
      <w:tr w:rsidR="00C624B2" w:rsidRPr="00412C35" w:rsidTr="00A16294">
        <w:tc>
          <w:tcPr>
            <w:tcW w:w="2161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Última actualización</w:t>
            </w:r>
          </w:p>
        </w:tc>
        <w:tc>
          <w:tcPr>
            <w:tcW w:w="2058" w:type="dxa"/>
            <w:shd w:val="clear" w:color="auto" w:fill="auto"/>
          </w:tcPr>
          <w:p w:rsidR="00C624B2" w:rsidRPr="00412C35" w:rsidRDefault="00204E01" w:rsidP="00204E01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11</w:t>
            </w:r>
            <w:r w:rsidR="00C624B2" w:rsidRPr="00412C35">
              <w:rPr>
                <w:rFonts w:cs="Microsoft Sans Serif"/>
              </w:rPr>
              <w:t>/</w:t>
            </w:r>
            <w:r w:rsidR="00C624B2">
              <w:rPr>
                <w:rFonts w:cs="Microsoft Sans Serif"/>
              </w:rPr>
              <w:t>0</w:t>
            </w:r>
            <w:r>
              <w:rPr>
                <w:rFonts w:cs="Microsoft Sans Serif"/>
              </w:rPr>
              <w:t>7</w:t>
            </w:r>
            <w:r w:rsidR="00C624B2" w:rsidRPr="00412C35">
              <w:rPr>
                <w:rFonts w:cs="Microsoft Sans Serif"/>
              </w:rPr>
              <w:t>/20</w:t>
            </w:r>
            <w:r w:rsidR="00C624B2">
              <w:rPr>
                <w:rFonts w:cs="Microsoft Sans Serif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  <w:b/>
              </w:rPr>
            </w:pPr>
            <w:r w:rsidRPr="00412C35">
              <w:rPr>
                <w:rFonts w:cs="Microsoft Sans Serif"/>
                <w:b/>
              </w:rPr>
              <w:t>Estado</w:t>
            </w:r>
          </w:p>
        </w:tc>
        <w:tc>
          <w:tcPr>
            <w:tcW w:w="2866" w:type="dxa"/>
            <w:shd w:val="clear" w:color="auto" w:fill="auto"/>
          </w:tcPr>
          <w:p w:rsidR="00C624B2" w:rsidRPr="00412C35" w:rsidRDefault="00C624B2" w:rsidP="00A16294">
            <w:pPr>
              <w:rPr>
                <w:rFonts w:cs="Microsoft Sans Serif"/>
              </w:rPr>
            </w:pPr>
          </w:p>
        </w:tc>
      </w:tr>
    </w:tbl>
    <w:p w:rsidR="00C624B2" w:rsidRDefault="00C624B2">
      <w:pPr>
        <w:rPr>
          <w:lang w:val="es-ES"/>
        </w:rPr>
      </w:pPr>
    </w:p>
    <w:p w:rsidR="0057774E" w:rsidRPr="0057774E" w:rsidRDefault="0057774E" w:rsidP="0057774E">
      <w:pPr>
        <w:pStyle w:val="Ttulo1"/>
      </w:pPr>
      <w:r w:rsidRPr="0057774E">
        <w:t>Objetivo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lang w:val="es-ES"/>
        </w:rPr>
        <w:t>Asegurar que la información y los sistemas informáticos que la procesan se encuentren protegidos contra software malicioso (por ejemplo: virus, gusanos, troyanos, spyware, adware intrusivo, crimeware, entre otros).</w:t>
      </w:r>
    </w:p>
    <w:p w:rsid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pStyle w:val="Ttulo1"/>
      </w:pPr>
      <w:r w:rsidRPr="0057774E">
        <w:t>Alcance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lang w:val="es-ES"/>
        </w:rPr>
        <w:t>Todos los sistemas informáticos que soportan los procesos de negocio del organismo.</w:t>
      </w:r>
    </w:p>
    <w:p w:rsid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pStyle w:val="Ttulo1"/>
      </w:pPr>
      <w:r w:rsidRPr="0057774E">
        <w:t>Responsabilidades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b/>
          <w:lang w:val="es-ES"/>
        </w:rPr>
        <w:t>Responsable de seguridad de la información</w:t>
      </w:r>
      <w:r w:rsidRPr="0057774E">
        <w:rPr>
          <w:lang w:val="es-ES"/>
        </w:rPr>
        <w:t xml:space="preserve"> debe velar por el cumplimiento de la presente política y realizar las revisiones oportunas. 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b/>
          <w:lang w:val="es-ES"/>
        </w:rPr>
        <w:t>Responsable de tecnología de la información</w:t>
      </w:r>
      <w:r w:rsidRPr="0057774E">
        <w:rPr>
          <w:lang w:val="es-ES"/>
        </w:rPr>
        <w:t xml:space="preserve"> es responsable por la gestión técnica relacionada a la presente política.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b/>
          <w:lang w:val="es-ES"/>
        </w:rPr>
        <w:t>Personal y proveedores</w:t>
      </w:r>
      <w:r w:rsidRPr="0057774E">
        <w:rPr>
          <w:lang w:val="es-ES"/>
        </w:rPr>
        <w:t xml:space="preserve"> deben cumplir con lo establecido en la presente política.</w:t>
      </w:r>
    </w:p>
    <w:p w:rsid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pStyle w:val="Ttulo1"/>
      </w:pPr>
      <w:r w:rsidRPr="0057774E">
        <w:t>Descripción</w:t>
      </w:r>
    </w:p>
    <w:p w:rsidR="0057774E" w:rsidRPr="0057774E" w:rsidRDefault="0057774E" w:rsidP="0057774E">
      <w:pPr>
        <w:rPr>
          <w:lang w:val="es-ES"/>
        </w:rPr>
      </w:pPr>
    </w:p>
    <w:p w:rsidR="0057774E" w:rsidRDefault="0057774E" w:rsidP="0057774E">
      <w:pPr>
        <w:rPr>
          <w:lang w:val="es-ES"/>
        </w:rPr>
      </w:pPr>
      <w:r w:rsidRPr="0057774E">
        <w:rPr>
          <w:lang w:val="es-ES"/>
        </w:rPr>
        <w:t>Se debe utilizar una solución antivirus corporativo que cumpla con: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pStyle w:val="Prrafodelista"/>
        <w:numPr>
          <w:ilvl w:val="0"/>
          <w:numId w:val="1"/>
        </w:numPr>
        <w:rPr>
          <w:lang w:val="es-ES"/>
        </w:rPr>
      </w:pPr>
      <w:r w:rsidRPr="0057774E">
        <w:rPr>
          <w:lang w:val="es-ES"/>
        </w:rPr>
        <w:t>Estar posicionada entre las de mejor desempeño por parte de al menos un análisis periódico, independiente e internacionalmente reconocido en las últimas dos revisiones</w:t>
      </w:r>
    </w:p>
    <w:p w:rsidR="0057774E" w:rsidRPr="0057774E" w:rsidRDefault="0057774E" w:rsidP="0057774E">
      <w:pPr>
        <w:pStyle w:val="Prrafodelista"/>
        <w:numPr>
          <w:ilvl w:val="0"/>
          <w:numId w:val="1"/>
        </w:numPr>
        <w:rPr>
          <w:lang w:val="es-ES"/>
        </w:rPr>
      </w:pPr>
      <w:r w:rsidRPr="0057774E">
        <w:rPr>
          <w:lang w:val="es-ES"/>
        </w:rPr>
        <w:t>De preferencia incluir dispositivos móviles como parte de la solución</w:t>
      </w:r>
    </w:p>
    <w:p w:rsidR="0057774E" w:rsidRPr="0057774E" w:rsidRDefault="0057774E" w:rsidP="0057774E">
      <w:pPr>
        <w:pStyle w:val="Prrafodelista"/>
        <w:numPr>
          <w:ilvl w:val="0"/>
          <w:numId w:val="1"/>
        </w:numPr>
        <w:rPr>
          <w:lang w:val="es-ES"/>
        </w:rPr>
      </w:pPr>
      <w:r w:rsidRPr="0057774E">
        <w:rPr>
          <w:lang w:val="es-ES"/>
        </w:rPr>
        <w:t>De preferencia implementar seguridad de navegación y correo</w:t>
      </w:r>
    </w:p>
    <w:p w:rsidR="0057774E" w:rsidRPr="0057774E" w:rsidRDefault="0057774E" w:rsidP="0057774E">
      <w:pPr>
        <w:rPr>
          <w:lang w:val="es-ES"/>
        </w:rPr>
      </w:pPr>
    </w:p>
    <w:p w:rsidR="0057774E" w:rsidRDefault="0057774E" w:rsidP="0057774E">
      <w:pPr>
        <w:rPr>
          <w:lang w:val="es-ES"/>
        </w:rPr>
      </w:pPr>
      <w:r w:rsidRPr="0057774E">
        <w:rPr>
          <w:lang w:val="es-ES"/>
        </w:rPr>
        <w:t>La organización debe:</w:t>
      </w:r>
    </w:p>
    <w:p w:rsidR="0057774E" w:rsidRP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Definir procedimientos y responsabilidades de gestión para la protección de los sistemas ante software malicioso.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lastRenderedPageBreak/>
        <w:t>Brindar capacitación al personal afectado en la operación y uso de la solución antivirus, así como cualquier otro mecanismo utilizado para la detección de software malicioso.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Concientizar a los usuarios finales sobre las formas en las que se puede adquirir el software malicioso, los riesgos y problemas que acarrea, así como sobre el procedimiento que se debe seguir en caso de sospechar o constatar estar afectado (tanto en los equipos informáticos a los cuales accede regularmente como otros en los que haya detectado su presencia). Este procedimiento debe estar formalizado y difundido a nivel de todo el organismo.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Contar con controles que prevengan y detecten el uso de software no autorizado (por ejemplo, lista blanca de aplicaciones), ya que estos pueden abrir la puerta a software malicioso.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Contar con controles que eviten el acceso a sitios web maliciosos y/o no autorizados (por ejemplo, listas negras).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Analizar periódicamente los sistemas informáticos en búsqueda de software malicioso.</w:t>
      </w:r>
    </w:p>
    <w:p w:rsidR="0057774E" w:rsidRPr="0057774E" w:rsidRDefault="0057774E" w:rsidP="0057774E">
      <w:pPr>
        <w:pStyle w:val="Prrafodelista"/>
        <w:numPr>
          <w:ilvl w:val="0"/>
          <w:numId w:val="2"/>
        </w:numPr>
        <w:rPr>
          <w:lang w:val="es-ES"/>
        </w:rPr>
      </w:pPr>
      <w:r w:rsidRPr="0057774E">
        <w:rPr>
          <w:lang w:val="es-ES"/>
        </w:rPr>
        <w:t>Analizar periódicamente los logs de los sistemas en búsqueda de actividades inusuales.</w:t>
      </w:r>
    </w:p>
    <w:p w:rsidR="0057774E" w:rsidRDefault="0057774E" w:rsidP="0057774E">
      <w:pPr>
        <w:rPr>
          <w:lang w:val="es-ES"/>
        </w:rPr>
      </w:pPr>
    </w:p>
    <w:p w:rsidR="0057774E" w:rsidRDefault="0057774E" w:rsidP="0057774E">
      <w:pPr>
        <w:rPr>
          <w:lang w:val="es-ES"/>
        </w:rPr>
      </w:pPr>
    </w:p>
    <w:p w:rsidR="0057774E" w:rsidRPr="0057774E" w:rsidRDefault="0057774E" w:rsidP="0057774E">
      <w:pPr>
        <w:rPr>
          <w:lang w:val="es-ES"/>
        </w:rPr>
      </w:pPr>
      <w:r w:rsidRPr="0057774E">
        <w:rPr>
          <w:lang w:val="es-ES"/>
        </w:rPr>
        <w:t>Todo equipo informático, tanto de escritorio, portátil, servidores y demás, debe estar protegido por una solución técnica residente en el equipo contra software malicioso, gestionado de forma centralizada. Esta solución técnica, así como la base de datos y registro de las amenazas a detectar, deben estar actualizadas y acompañarse de un procedimiento que explicite un comportamiento preventivo de los usuarios y personal especializado de TI.</w:t>
      </w:r>
    </w:p>
    <w:p w:rsidR="00C624B2" w:rsidRDefault="00C624B2">
      <w:pPr>
        <w:rPr>
          <w:lang w:val="es-ES"/>
        </w:rPr>
      </w:pPr>
      <w:bookmarkStart w:id="0" w:name="_GoBack"/>
      <w:bookmarkEnd w:id="0"/>
    </w:p>
    <w:p w:rsidR="00C624B2" w:rsidRPr="004A7B1C" w:rsidRDefault="00C624B2" w:rsidP="00C624B2">
      <w:pPr>
        <w:pStyle w:val="Ttulo1"/>
        <w:rPr>
          <w:rFonts w:cs="Microsoft Sans Serif"/>
          <w:lang w:eastAsia="es-UY"/>
        </w:rPr>
      </w:pPr>
      <w:r w:rsidRPr="00102E06">
        <w:rPr>
          <w:lang w:eastAsia="es-UY"/>
        </w:rPr>
        <w:t>Cumplimiento</w:t>
      </w:r>
    </w:p>
    <w:p w:rsidR="00C624B2" w:rsidRDefault="00C624B2" w:rsidP="00C624B2">
      <w:pPr>
        <w:rPr>
          <w:rFonts w:cs="Microsoft Sans Serif"/>
          <w:lang w:eastAsia="es-UY"/>
        </w:rPr>
      </w:pPr>
      <w:r w:rsidRPr="762ADBE3">
        <w:rPr>
          <w:rFonts w:cs="Microsoft Sans Serif"/>
        </w:rPr>
        <w:t>Se destaca que el incumplimiento de la presente política aumenta la exposición de la información y el riesgo de tener un incidente de seguridad de la información.</w:t>
      </w:r>
      <w:r w:rsidRPr="762ADBE3">
        <w:rPr>
          <w:rFonts w:cs="Microsoft Sans Serif"/>
          <w:lang w:eastAsia="es-UY"/>
        </w:rPr>
        <w:t xml:space="preserve"> Ante la verificación de un incumplimiento la Dirección podrá tomar las medidas que se considere pertinentes, a efectos de darle el debido cumplimiento. </w:t>
      </w:r>
    </w:p>
    <w:p w:rsidR="00C624B2" w:rsidRDefault="00C624B2" w:rsidP="00C624B2">
      <w:pPr>
        <w:rPr>
          <w:rFonts w:eastAsiaTheme="majorEastAsia" w:cstheme="majorBidi"/>
          <w:b/>
          <w:color w:val="374C92"/>
          <w:sz w:val="28"/>
          <w:szCs w:val="32"/>
          <w:lang w:eastAsia="es-UY"/>
        </w:rPr>
      </w:pPr>
    </w:p>
    <w:p w:rsidR="00C624B2" w:rsidRPr="00412C35" w:rsidRDefault="00C624B2" w:rsidP="00C624B2">
      <w:pPr>
        <w:pStyle w:val="Ttulo1"/>
        <w:rPr>
          <w:lang w:eastAsia="es-UY"/>
        </w:rPr>
      </w:pPr>
      <w:r w:rsidRPr="00412C35">
        <w:rPr>
          <w:lang w:eastAsia="es-UY"/>
        </w:rPr>
        <w:t>Historial de revisiones</w:t>
      </w:r>
    </w:p>
    <w:p w:rsidR="00C624B2" w:rsidRPr="00412C35" w:rsidRDefault="00C624B2" w:rsidP="00C624B2">
      <w:pPr>
        <w:rPr>
          <w:rFonts w:cs="Microsoft Sans Serif"/>
          <w:lang w:eastAsia="es-U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2"/>
        <w:gridCol w:w="4562"/>
      </w:tblGrid>
      <w:tr w:rsidR="00C624B2" w:rsidRPr="00412C35" w:rsidTr="00A16294">
        <w:trPr>
          <w:trHeight w:val="448"/>
        </w:trPr>
        <w:tc>
          <w:tcPr>
            <w:tcW w:w="217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Fecha de revisión</w:t>
            </w:r>
          </w:p>
        </w:tc>
        <w:tc>
          <w:tcPr>
            <w:tcW w:w="2070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Responsable</w:t>
            </w:r>
          </w:p>
        </w:tc>
        <w:tc>
          <w:tcPr>
            <w:tcW w:w="532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/>
                <w:bCs/>
                <w:color w:val="000000"/>
                <w:lang w:eastAsia="es-UY"/>
              </w:rPr>
            </w:pPr>
            <w:r w:rsidRPr="00412C35">
              <w:rPr>
                <w:rFonts w:eastAsia="Times New Roman" w:cs="Microsoft Sans Serif"/>
                <w:b/>
                <w:bCs/>
                <w:color w:val="000000"/>
                <w:lang w:eastAsia="es-UY"/>
              </w:rPr>
              <w:t>Resumen de cambios</w:t>
            </w:r>
          </w:p>
        </w:tc>
      </w:tr>
      <w:tr w:rsidR="00C624B2" w:rsidRPr="00412C35" w:rsidTr="00A16294">
        <w:trPr>
          <w:trHeight w:val="469"/>
        </w:trPr>
        <w:tc>
          <w:tcPr>
            <w:tcW w:w="217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2070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  <w:tc>
          <w:tcPr>
            <w:tcW w:w="5328" w:type="dxa"/>
            <w:shd w:val="clear" w:color="auto" w:fill="auto"/>
          </w:tcPr>
          <w:p w:rsidR="00C624B2" w:rsidRPr="00412C35" w:rsidRDefault="00C624B2" w:rsidP="00A16294">
            <w:pPr>
              <w:rPr>
                <w:rFonts w:eastAsia="Times New Roman" w:cs="Microsoft Sans Serif"/>
                <w:bCs/>
                <w:color w:val="000000"/>
                <w:lang w:eastAsia="es-UY"/>
              </w:rPr>
            </w:pPr>
          </w:p>
        </w:tc>
      </w:tr>
    </w:tbl>
    <w:p w:rsidR="00C624B2" w:rsidRPr="00412C35" w:rsidRDefault="00C624B2" w:rsidP="00C624B2">
      <w:pPr>
        <w:rPr>
          <w:rFonts w:eastAsia="Times New Roman" w:cs="Microsoft Sans Serif"/>
          <w:b/>
          <w:bCs/>
          <w:lang w:eastAsia="es-UY"/>
        </w:rPr>
      </w:pPr>
    </w:p>
    <w:p w:rsidR="00C624B2" w:rsidRDefault="00C624B2" w:rsidP="00C624B2">
      <w:pPr>
        <w:rPr>
          <w:lang w:val="es-ES"/>
        </w:rPr>
      </w:pPr>
      <w:r>
        <w:rPr>
          <w:lang w:val="es-ES"/>
        </w:rPr>
        <w:br w:type="page"/>
      </w: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82091" w:rsidRDefault="00082091">
      <w:pPr>
        <w:rPr>
          <w:lang w:val="es-ES"/>
        </w:rPr>
      </w:pPr>
    </w:p>
    <w:p w:rsidR="000D38B4" w:rsidRDefault="000D38B4">
      <w:pPr>
        <w:rPr>
          <w:lang w:val="es-ES"/>
        </w:rPr>
      </w:pPr>
    </w:p>
    <w:p w:rsidR="00581ADB" w:rsidRDefault="00581ADB">
      <w:pPr>
        <w:rPr>
          <w:lang w:val="es-ES"/>
        </w:rPr>
      </w:pPr>
    </w:p>
    <w:p w:rsidR="000D38B4" w:rsidRDefault="00082091" w:rsidP="00082091">
      <w:pPr>
        <w:ind w:left="-1560"/>
        <w:rPr>
          <w:lang w:val="es-ES"/>
        </w:rPr>
      </w:pPr>
      <w:r>
        <w:rPr>
          <w:noProof/>
          <w:lang w:val="es-UY" w:eastAsia="es-UY"/>
        </w:rPr>
        <w:drawing>
          <wp:inline distT="0" distB="0" distL="0" distR="0" wp14:anchorId="009D3B94" wp14:editId="409F2451">
            <wp:extent cx="7272020" cy="64069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15" cy="6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B4" w:rsidSect="000D38B4">
      <w:pgSz w:w="11900" w:h="16840"/>
      <w:pgMar w:top="1417" w:right="1701" w:bottom="6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01" w:rsidRDefault="00204E01" w:rsidP="000D38B4">
      <w:r>
        <w:separator/>
      </w:r>
    </w:p>
  </w:endnote>
  <w:endnote w:type="continuationSeparator" w:id="0">
    <w:p w:rsidR="00204E01" w:rsidRDefault="00204E01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01" w:rsidRDefault="00204E01" w:rsidP="000D38B4">
      <w:r>
        <w:separator/>
      </w:r>
    </w:p>
  </w:footnote>
  <w:footnote w:type="continuationSeparator" w:id="0">
    <w:p w:rsidR="00204E01" w:rsidRDefault="00204E01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5A8E"/>
    <w:multiLevelType w:val="hybridMultilevel"/>
    <w:tmpl w:val="9AE833E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838"/>
    <w:multiLevelType w:val="hybridMultilevel"/>
    <w:tmpl w:val="4E2C6E7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1"/>
    <w:rsid w:val="00082091"/>
    <w:rsid w:val="000D38B4"/>
    <w:rsid w:val="0011079F"/>
    <w:rsid w:val="00204E01"/>
    <w:rsid w:val="00365975"/>
    <w:rsid w:val="003B1C56"/>
    <w:rsid w:val="0057774E"/>
    <w:rsid w:val="00581ADB"/>
    <w:rsid w:val="005F5AD5"/>
    <w:rsid w:val="0063230A"/>
    <w:rsid w:val="00862773"/>
    <w:rsid w:val="00AE1594"/>
    <w:rsid w:val="00B52E01"/>
    <w:rsid w:val="00C15334"/>
    <w:rsid w:val="00C624B2"/>
    <w:rsid w:val="00C92891"/>
    <w:rsid w:val="762A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5CFD0"/>
  <w15:chartTrackingRefBased/>
  <w15:docId w15:val="{C95824C4-30A4-4364-8FD7-C4534927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4B2"/>
    <w:pPr>
      <w:keepNext/>
      <w:keepLines/>
      <w:spacing w:before="240" w:line="259" w:lineRule="auto"/>
      <w:outlineLvl w:val="0"/>
    </w:pPr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B4"/>
  </w:style>
  <w:style w:type="paragraph" w:styleId="Piedepgina">
    <w:name w:val="footer"/>
    <w:basedOn w:val="Normal"/>
    <w:link w:val="PiedepginaCar"/>
    <w:uiPriority w:val="99"/>
    <w:unhideWhenUsed/>
    <w:rsid w:val="000D38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B4"/>
  </w:style>
  <w:style w:type="paragraph" w:styleId="Sinespaciado">
    <w:name w:val="No Spacing"/>
    <w:link w:val="SinespaciadoCar"/>
    <w:uiPriority w:val="1"/>
    <w:qFormat/>
    <w:rsid w:val="000D38B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38B4"/>
    <w:rPr>
      <w:rFonts w:eastAsiaTheme="minorEastAsia"/>
      <w:sz w:val="22"/>
      <w:szCs w:val="22"/>
      <w:lang w:val="en-US"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C624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624B2"/>
    <w:rPr>
      <w:rFonts w:ascii="Microsoft Sans Serif" w:eastAsiaTheme="majorEastAsia" w:hAnsi="Microsoft Sans Serif" w:cstheme="majorBidi"/>
      <w:b/>
      <w:color w:val="374C92"/>
      <w:sz w:val="28"/>
      <w:szCs w:val="32"/>
      <w:lang w:val="es-UY"/>
    </w:rPr>
  </w:style>
  <w:style w:type="paragraph" w:styleId="Prrafodelista">
    <w:name w:val="List Paragraph"/>
    <w:basedOn w:val="Normal"/>
    <w:uiPriority w:val="34"/>
    <w:qFormat/>
    <w:rsid w:val="0057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141.51\Privados\Seguridad%20de%20la%20Informaci&#243;n\Gesti&#243;n%20y%20auditoria\Procesos\Formateado\template%20Politica%20MC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0de35-1437-4539-8539-632ee4ed0d3b">
      <Terms xmlns="http://schemas.microsoft.com/office/infopath/2007/PartnerControls"/>
    </lcf76f155ced4ddcb4097134ff3c332f>
    <TaxCatchAll xmlns="1d36ff73-39f8-44c4-a830-f302c958ce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54D32F41C0C4BBBB136A0AB5ED2EB" ma:contentTypeVersion="15" ma:contentTypeDescription="Crear nuevo documento." ma:contentTypeScope="" ma:versionID="9b6ed3f861c22a70d5aa872d410f4035">
  <xsd:schema xmlns:xsd="http://www.w3.org/2001/XMLSchema" xmlns:xs="http://www.w3.org/2001/XMLSchema" xmlns:p="http://schemas.microsoft.com/office/2006/metadata/properties" xmlns:ns2="b1f0de35-1437-4539-8539-632ee4ed0d3b" xmlns:ns3="1d36ff73-39f8-44c4-a830-f302c958ceff" targetNamespace="http://schemas.microsoft.com/office/2006/metadata/properties" ma:root="true" ma:fieldsID="51cbc3c621b14bdb2f51cbd954a13a3d" ns2:_="" ns3:_="">
    <xsd:import namespace="b1f0de35-1437-4539-8539-632ee4ed0d3b"/>
    <xsd:import namespace="1d36ff73-39f8-44c4-a830-f302c958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de35-1437-4539-8539-632ee4ed0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66ef7a2-f758-4654-9df8-524f0b58b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6ff73-39f8-44c4-a830-f302c958c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64de04-b449-4fc7-b35b-02bfee555e7a}" ma:internalName="TaxCatchAll" ma:showField="CatchAllData" ma:web="1d36ff73-39f8-44c4-a830-f302c958c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6B52A-76DC-4447-9FBE-BA2C156FE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09DAD-D400-496F-908C-4AAA8575D86E}">
  <ds:schemaRefs>
    <ds:schemaRef ds:uri="http://schemas.microsoft.com/office/2006/metadata/properties"/>
    <ds:schemaRef ds:uri="http://schemas.microsoft.com/office/infopath/2007/PartnerControls"/>
    <ds:schemaRef ds:uri="b1f0de35-1437-4539-8539-632ee4ed0d3b"/>
    <ds:schemaRef ds:uri="1d36ff73-39f8-44c4-a830-f302c958ceff"/>
  </ds:schemaRefs>
</ds:datastoreItem>
</file>

<file path=customXml/itemProps3.xml><?xml version="1.0" encoding="utf-8"?>
<ds:datastoreItem xmlns:ds="http://schemas.openxmlformats.org/officeDocument/2006/customXml" ds:itemID="{D5370CFC-128D-4AE6-BF0B-3AFD87998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de35-1437-4539-8539-632ee4ed0d3b"/>
    <ds:schemaRef ds:uri="1d36ff73-39f8-44c4-a830-f302c958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Politica MCU.dotx</Template>
  <TotalTime>4</TotalTime>
  <Pages>5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Ferreira</dc:creator>
  <cp:keywords/>
  <dc:description/>
  <cp:lastModifiedBy>Silvina Ferreira</cp:lastModifiedBy>
  <cp:revision>2</cp:revision>
  <dcterms:created xsi:type="dcterms:W3CDTF">2022-07-14T16:04:00Z</dcterms:created>
  <dcterms:modified xsi:type="dcterms:W3CDTF">2022-07-14T16:08:00Z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0x01010028654D32F41C0C4BBBB136A0AB5ED2EB</vt:lpwstr>
  </property>
  <property fmtid="{D5CDD505-2E9C-101B-9397-08002B2CF9AE}" pid="3" name="MediaServiceImageTags">
    <vt:lpwstr/>
  </property>
</Properties>
</file>