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EF57AA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EF57AA">
        <w:rPr>
          <w:lang w:val="es-ES"/>
        </w:rPr>
        <w:t xml:space="preserve"> </w:t>
      </w:r>
      <w:r w:rsidR="00EF57AA" w:rsidRPr="00EF57AA">
        <w:rPr>
          <w:lang w:val="es-ES"/>
        </w:rPr>
        <w:t>Registro y auditoria de eventos de sistemas de información</w:t>
      </w:r>
    </w:p>
    <w:p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EF57AA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EF57AA" w:rsidP="00EF57A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11</w:t>
            </w:r>
            <w:r w:rsidR="00C624B2" w:rsidRPr="00412C35">
              <w:rPr>
                <w:rFonts w:cs="Microsoft Sans Serif"/>
              </w:rPr>
              <w:t>/</w:t>
            </w:r>
            <w:r w:rsidR="00C624B2">
              <w:rPr>
                <w:rFonts w:cs="Microsoft Sans Serif"/>
              </w:rPr>
              <w:t>0</w:t>
            </w:r>
            <w:r>
              <w:rPr>
                <w:rFonts w:cs="Microsoft Sans Serif"/>
              </w:rPr>
              <w:t>7</w:t>
            </w:r>
            <w:r w:rsidR="00C624B2" w:rsidRPr="00412C35">
              <w:rPr>
                <w:rFonts w:cs="Microsoft Sans Serif"/>
              </w:rPr>
              <w:t>/20</w:t>
            </w:r>
            <w:r w:rsidR="00C624B2"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EF57AA" w:rsidRPr="00EF57AA" w:rsidRDefault="00EF57AA" w:rsidP="00EF57AA">
      <w:pPr>
        <w:pStyle w:val="Ttulo1"/>
      </w:pPr>
      <w:r w:rsidRPr="00EF57AA">
        <w:t>Objetivo</w:t>
      </w:r>
    </w:p>
    <w:p w:rsidR="00EF57AA" w:rsidRP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>Monitorear y registrar los eventos de dispositivos de red y sistemas informáticos para detectar posibles fallas o situaciones inesperadas, generar evidencia y actuar con la mayor premura posible.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pStyle w:val="Ttulo1"/>
      </w:pPr>
      <w:r w:rsidRPr="00EF57AA">
        <w:t>Alcance</w:t>
      </w:r>
    </w:p>
    <w:p w:rsidR="00EF57AA" w:rsidRP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 xml:space="preserve">Todos los sistemas informáticos y dispositivos de red de la organización. 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pStyle w:val="Ttulo1"/>
      </w:pPr>
      <w:r w:rsidRPr="00EF57AA">
        <w:t>Responsabilidades</w:t>
      </w:r>
    </w:p>
    <w:p w:rsidR="00EF57AA" w:rsidRP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b/>
          <w:lang w:val="es-ES"/>
        </w:rPr>
        <w:t>Responsable de seguridad de la información</w:t>
      </w:r>
      <w:r w:rsidRPr="00EF57AA">
        <w:rPr>
          <w:lang w:val="es-ES"/>
        </w:rPr>
        <w:t xml:space="preserve"> velar por el cumplimiento de la presente política y realizar las revisiones oportunas.</w:t>
      </w:r>
    </w:p>
    <w:p w:rsidR="00EF57AA" w:rsidRP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b/>
          <w:lang w:val="es-ES"/>
        </w:rPr>
        <w:t>Responsable de tecnología de la información</w:t>
      </w:r>
      <w:r w:rsidRPr="00EF57AA">
        <w:rPr>
          <w:lang w:val="es-ES"/>
        </w:rPr>
        <w:t xml:space="preserve"> es responsable por la gestión del monitoreo de los elementos que componen la red, recursos de red y/o cualquier sistema informático de la organización, así como de la revisión periódica de los registros.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pStyle w:val="Ttulo1"/>
      </w:pPr>
      <w:r w:rsidRPr="00EF57AA">
        <w:t>Políticas relacionadas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>Política de Gestión de cambios</w:t>
      </w: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>Política de Gestión de incidentes de seguridad de la información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pStyle w:val="Ttulo1"/>
      </w:pPr>
      <w:r w:rsidRPr="00EF57AA">
        <w:t>Descripción</w:t>
      </w:r>
    </w:p>
    <w:p w:rsidR="00EF57AA" w:rsidRP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>La organización debe:</w:t>
      </w:r>
    </w:p>
    <w:p w:rsidR="00EF57AA" w:rsidRPr="00EF57AA" w:rsidRDefault="00EF57AA" w:rsidP="00EF57AA">
      <w:pPr>
        <w:pStyle w:val="Prrafodelista"/>
        <w:numPr>
          <w:ilvl w:val="0"/>
          <w:numId w:val="1"/>
        </w:numPr>
        <w:rPr>
          <w:lang w:val="es-ES"/>
        </w:rPr>
      </w:pPr>
      <w:r w:rsidRPr="00EF57AA">
        <w:rPr>
          <w:lang w:val="es-ES"/>
        </w:rPr>
        <w:t>Contar con procedimientos formales que soporten la gestión del monitoreo de los elementos de red y sistemas informáticos</w:t>
      </w:r>
    </w:p>
    <w:p w:rsidR="00EF57AA" w:rsidRPr="00EF57AA" w:rsidRDefault="00EF57AA" w:rsidP="00EF57AA">
      <w:pPr>
        <w:pStyle w:val="Prrafodelista"/>
        <w:numPr>
          <w:ilvl w:val="0"/>
          <w:numId w:val="1"/>
        </w:numPr>
        <w:rPr>
          <w:lang w:val="es-ES"/>
        </w:rPr>
      </w:pPr>
      <w:r w:rsidRPr="00EF57AA">
        <w:rPr>
          <w:lang w:val="es-ES"/>
        </w:rPr>
        <w:t>Registrar los eventos y definir el tiempo de retención de éstos</w:t>
      </w:r>
    </w:p>
    <w:p w:rsidR="00EF57AA" w:rsidRPr="00EF57AA" w:rsidRDefault="00EF57AA" w:rsidP="00EF57AA">
      <w:pPr>
        <w:pStyle w:val="Prrafodelista"/>
        <w:numPr>
          <w:ilvl w:val="0"/>
          <w:numId w:val="1"/>
        </w:numPr>
        <w:rPr>
          <w:lang w:val="es-ES"/>
        </w:rPr>
      </w:pPr>
      <w:r w:rsidRPr="00EF57AA">
        <w:rPr>
          <w:lang w:val="es-ES"/>
        </w:rPr>
        <w:t>Definir la periodicidad de las revisiones de los registros</w:t>
      </w:r>
    </w:p>
    <w:p w:rsidR="00EF57AA" w:rsidRPr="00EF57AA" w:rsidRDefault="00EF57AA" w:rsidP="00EF57AA">
      <w:pPr>
        <w:pStyle w:val="Prrafodelista"/>
        <w:numPr>
          <w:ilvl w:val="0"/>
          <w:numId w:val="1"/>
        </w:numPr>
        <w:rPr>
          <w:lang w:val="es-ES"/>
        </w:rPr>
      </w:pPr>
      <w:r w:rsidRPr="00EF57AA">
        <w:rPr>
          <w:lang w:val="es-ES"/>
        </w:rPr>
        <w:t xml:space="preserve">Revisar periódicamente los registros de eventos </w:t>
      </w:r>
    </w:p>
    <w:p w:rsidR="00EF57AA" w:rsidRDefault="00EF57AA" w:rsidP="00EF57AA">
      <w:pPr>
        <w:rPr>
          <w:lang w:val="es-ES"/>
        </w:rPr>
      </w:pP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lastRenderedPageBreak/>
        <w:t>Se debe registrar, al menos: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Fechas y horarios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Origen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Destino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Conexiones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Acciones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Inicio de sesión fallidos</w:t>
      </w:r>
    </w:p>
    <w:p w:rsidR="00EF57AA" w:rsidRPr="00EF57AA" w:rsidRDefault="00EF57AA" w:rsidP="00EF57AA">
      <w:pPr>
        <w:pStyle w:val="Prrafodelista"/>
        <w:numPr>
          <w:ilvl w:val="0"/>
          <w:numId w:val="2"/>
        </w:numPr>
        <w:rPr>
          <w:lang w:val="es-ES"/>
        </w:rPr>
      </w:pPr>
      <w:r w:rsidRPr="00EF57AA">
        <w:rPr>
          <w:lang w:val="es-ES"/>
        </w:rPr>
        <w:t>Cambios en las configuraciones de los sistemas</w:t>
      </w:r>
    </w:p>
    <w:p w:rsidR="00EF57AA" w:rsidRDefault="00EF57AA" w:rsidP="00EF57AA">
      <w:pPr>
        <w:rPr>
          <w:lang w:val="es-ES"/>
        </w:rPr>
      </w:pPr>
    </w:p>
    <w:p w:rsidR="00EF57AA" w:rsidRPr="00EF57AA" w:rsidRDefault="00EF57AA" w:rsidP="00EF57AA">
      <w:pPr>
        <w:rPr>
          <w:lang w:val="es-ES"/>
        </w:rPr>
      </w:pPr>
      <w:r w:rsidRPr="00EF57AA">
        <w:rPr>
          <w:lang w:val="es-ES"/>
        </w:rPr>
        <w:t>La hora de los sistemas informáticos debe estar sincronizada con una sola fuente de referencia de tiempo.</w:t>
      </w:r>
    </w:p>
    <w:p w:rsidR="00EF57AA" w:rsidRPr="00EF57AA" w:rsidRDefault="00EF57AA" w:rsidP="00EF57AA">
      <w:pPr>
        <w:rPr>
          <w:lang w:val="es-ES"/>
        </w:rPr>
      </w:pPr>
    </w:p>
    <w:p w:rsidR="00EF57AA" w:rsidRDefault="00EF57AA" w:rsidP="00EF57AA">
      <w:pPr>
        <w:rPr>
          <w:lang w:val="es-ES"/>
        </w:rPr>
      </w:pPr>
      <w:r w:rsidRPr="00EF57AA">
        <w:rPr>
          <w:lang w:val="es-ES"/>
        </w:rPr>
        <w:t>Los registros deben estar protegidos contra posibles alteraciones o accesos no autorizados.</w:t>
      </w:r>
    </w:p>
    <w:p w:rsidR="00EF57AA" w:rsidRDefault="00EF57AA" w:rsidP="00EF57AA">
      <w:pPr>
        <w:rPr>
          <w:lang w:val="es-ES"/>
        </w:rPr>
      </w:pPr>
    </w:p>
    <w:p w:rsidR="00C624B2" w:rsidRPr="00EF57AA" w:rsidRDefault="00C624B2" w:rsidP="00EF57AA">
      <w:pPr>
        <w:pStyle w:val="Ttulo1"/>
        <w:rPr>
          <w:rFonts w:cstheme="minorBidi"/>
          <w:lang w:val="es-ES"/>
        </w:rPr>
      </w:pPr>
      <w:bookmarkStart w:id="0" w:name="_GoBack"/>
      <w:r w:rsidRPr="00102E06">
        <w:rPr>
          <w:lang w:eastAsia="es-UY"/>
        </w:rPr>
        <w:t>Cumplimiento</w:t>
      </w:r>
    </w:p>
    <w:bookmarkEnd w:id="0"/>
    <w:p w:rsidR="00EF57AA" w:rsidRDefault="00EF57AA" w:rsidP="00C624B2">
      <w:pPr>
        <w:rPr>
          <w:rFonts w:cs="Microsoft Sans Serif"/>
        </w:rPr>
      </w:pP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B8" w:rsidRDefault="000214B8" w:rsidP="000D38B4">
      <w:r>
        <w:separator/>
      </w:r>
    </w:p>
  </w:endnote>
  <w:endnote w:type="continuationSeparator" w:id="0">
    <w:p w:rsidR="000214B8" w:rsidRDefault="000214B8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B8" w:rsidRDefault="000214B8" w:rsidP="000D38B4">
      <w:r>
        <w:separator/>
      </w:r>
    </w:p>
  </w:footnote>
  <w:footnote w:type="continuationSeparator" w:id="0">
    <w:p w:rsidR="000214B8" w:rsidRDefault="000214B8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0C96"/>
    <w:multiLevelType w:val="hybridMultilevel"/>
    <w:tmpl w:val="01B61E9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76C4"/>
    <w:multiLevelType w:val="hybridMultilevel"/>
    <w:tmpl w:val="1EB2F09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8"/>
    <w:rsid w:val="000214B8"/>
    <w:rsid w:val="00082091"/>
    <w:rsid w:val="000D38B4"/>
    <w:rsid w:val="0011079F"/>
    <w:rsid w:val="00365975"/>
    <w:rsid w:val="003B1C56"/>
    <w:rsid w:val="00581ADB"/>
    <w:rsid w:val="005F5AD5"/>
    <w:rsid w:val="0063230A"/>
    <w:rsid w:val="00862773"/>
    <w:rsid w:val="00AE1594"/>
    <w:rsid w:val="00B52E01"/>
    <w:rsid w:val="00C15334"/>
    <w:rsid w:val="00C624B2"/>
    <w:rsid w:val="00C92891"/>
    <w:rsid w:val="00EF57AA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618EA0E0-BFBC-42DA-9867-138A951F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EF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141.51\Privados\Seguridad%20de%20la%20Informaci&#243;n\Gesti&#243;n%20y%20auditoria\Procesos\Formateado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9DAD-D400-496F-908C-4AAA8575D86E}">
  <ds:schemaRefs>
    <ds:schemaRef ds:uri="http://purl.org/dc/elements/1.1/"/>
    <ds:schemaRef ds:uri="b1f0de35-1437-4539-8539-632ee4ed0d3b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D5370CFC-128D-4AE6-BF0B-3AFD8799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de35-1437-4539-8539-632ee4ed0d3b"/>
    <ds:schemaRef ds:uri="1d36ff73-39f8-44c4-a830-f302c958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5</TotalTime>
  <Pages>5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</cp:revision>
  <dcterms:created xsi:type="dcterms:W3CDTF">2022-07-14T16:09:00Z</dcterms:created>
  <dcterms:modified xsi:type="dcterms:W3CDTF">2022-07-14T16:14:00Z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