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9287978"/>
        <w:docPartObj>
          <w:docPartGallery w:val="Cover Pages"/>
          <w:docPartUnique/>
        </w:docPartObj>
      </w:sdtPr>
      <w:sdtEndPr>
        <w:rPr>
          <w:lang w:val="es-ES"/>
        </w:rPr>
      </w:sdtEndPr>
      <w:sdtContent>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862773" w:rsidP="000D38B4">
          <w:pPr>
            <w:ind w:left="-1701"/>
          </w:pPr>
          <w:r>
            <w:rPr>
              <w:noProof/>
              <w:lang w:val="es-UY" w:eastAsia="es-UY"/>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0"/>
                        <a:stretch>
                          <a:fillRect/>
                        </a:stretch>
                      </pic:blipFill>
                      <pic:spPr>
                        <a:xfrm>
                          <a:off x="0" y="0"/>
                          <a:ext cx="7554907" cy="6494304"/>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862773" w:rsidP="00862773">
          <w:pPr>
            <w:jc w:val="center"/>
            <w:rPr>
              <w:lang w:val="es-ES"/>
            </w:rPr>
          </w:pPr>
          <w:r w:rsidRPr="00AE1594">
            <w:rPr>
              <w:noProof/>
              <w:lang w:val="es-UY" w:eastAsia="es-UY"/>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2694129" cy="504063"/>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rsidP="00AE1594">
          <w:pPr>
            <w:jc w:val="center"/>
            <w:rPr>
              <w:lang w:val="es-ES"/>
            </w:rPr>
          </w:pPr>
        </w:p>
        <w:p w:rsidR="000D38B4" w:rsidRDefault="00D1101A" w:rsidP="00AE1594">
          <w:pPr>
            <w:rPr>
              <w:lang w:val="es-ES"/>
            </w:rPr>
          </w:pPr>
        </w:p>
      </w:sdtContent>
    </w:sdt>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Pr="000D38B4" w:rsidRDefault="000D38B4">
      <w:pPr>
        <w:rPr>
          <w:color w:val="05418E"/>
          <w:lang w:val="es-ES"/>
        </w:rPr>
      </w:pPr>
    </w:p>
    <w:p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rsidR="000D38B4" w:rsidRPr="000D38B4" w:rsidRDefault="00082091">
      <w:pPr>
        <w:rPr>
          <w:rFonts w:ascii="Montserrat Light" w:hAnsi="Montserrat Light"/>
          <w:color w:val="05418E"/>
          <w:sz w:val="50"/>
          <w:szCs w:val="50"/>
        </w:rPr>
      </w:pPr>
      <w:r>
        <w:rPr>
          <w:noProof/>
          <w:lang w:val="es-UY" w:eastAsia="es-UY"/>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rsidR="000D38B4" w:rsidRDefault="000D38B4">
      <w:pPr>
        <w:rPr>
          <w:lang w:val="es-ES"/>
        </w:rPr>
      </w:pPr>
    </w:p>
    <w:p w:rsidR="00082091" w:rsidRDefault="00082091" w:rsidP="000D38B4">
      <w:pPr>
        <w:rPr>
          <w:rFonts w:ascii="Montserrat Light" w:hAnsi="Montserrat Light"/>
          <w:color w:val="262626" w:themeColor="text1" w:themeTint="D9"/>
        </w:rPr>
      </w:pPr>
    </w:p>
    <w:p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rsidR="00082091" w:rsidRPr="00581ADB" w:rsidRDefault="00082091" w:rsidP="000D38B4">
      <w:pPr>
        <w:rPr>
          <w:rFonts w:ascii="Montserrat Light" w:hAnsi="Montserrat Light"/>
          <w:color w:val="262626" w:themeColor="text1" w:themeTint="D9"/>
        </w:rPr>
      </w:pP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rsidR="000D38B4" w:rsidRPr="000D38B4" w:rsidRDefault="000D38B4">
      <w:pPr>
        <w:rPr>
          <w:color w:val="262626" w:themeColor="text1" w:themeTint="D9"/>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C624B2" w:rsidRDefault="00C624B2">
      <w:pPr>
        <w:rPr>
          <w:lang w:val="es-ES"/>
        </w:rPr>
      </w:pPr>
      <w:r>
        <w:rPr>
          <w:lang w:val="es-ES"/>
        </w:rPr>
        <w:br w:type="page"/>
      </w:r>
    </w:p>
    <w:p w:rsidR="000D38B4" w:rsidRDefault="006E432F">
      <w:pPr>
        <w:rPr>
          <w:rFonts w:asciiTheme="majorHAnsi" w:eastAsiaTheme="majorEastAsia" w:hAnsiTheme="majorHAnsi" w:cstheme="majorBidi"/>
          <w:spacing w:val="-10"/>
          <w:kern w:val="28"/>
          <w:sz w:val="56"/>
          <w:szCs w:val="56"/>
          <w:lang w:val="es-ES"/>
        </w:rPr>
      </w:pPr>
      <w:r w:rsidRPr="006E432F">
        <w:rPr>
          <w:rFonts w:asciiTheme="majorHAnsi" w:eastAsiaTheme="majorEastAsia" w:hAnsiTheme="majorHAnsi" w:cstheme="majorBidi"/>
          <w:spacing w:val="-10"/>
          <w:kern w:val="28"/>
          <w:sz w:val="56"/>
          <w:szCs w:val="56"/>
          <w:lang w:val="es-ES"/>
        </w:rPr>
        <w:lastRenderedPageBreak/>
        <w:t>Política de Relacionamiento con proveedores</w:t>
      </w:r>
    </w:p>
    <w:p w:rsidR="006E432F" w:rsidRDefault="006E432F">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005"/>
        <w:gridCol w:w="1546"/>
        <w:gridCol w:w="2799"/>
      </w:tblGrid>
      <w:tr w:rsidR="00C624B2" w:rsidRPr="00412C35" w:rsidTr="00A16294">
        <w:tc>
          <w:tcPr>
            <w:tcW w:w="2161" w:type="dxa"/>
            <w:shd w:val="clear" w:color="auto" w:fill="auto"/>
          </w:tcPr>
          <w:p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rsidR="00C624B2" w:rsidRPr="00412C35" w:rsidRDefault="006E432F" w:rsidP="00A16294">
            <w:pPr>
              <w:rPr>
                <w:rFonts w:cs="Microsoft Sans Serif"/>
              </w:rPr>
            </w:pPr>
            <w:r>
              <w:rPr>
                <w:rFonts w:cs="Microsoft Sans Serif"/>
              </w:rPr>
              <w:t>1</w:t>
            </w:r>
            <w:r w:rsidR="00C624B2" w:rsidRPr="00412C35">
              <w:rPr>
                <w:rFonts w:cs="Microsoft Sans Serif"/>
              </w:rPr>
              <w:t>.0</w:t>
            </w:r>
          </w:p>
        </w:tc>
        <w:tc>
          <w:tcPr>
            <w:tcW w:w="1559" w:type="dxa"/>
            <w:shd w:val="clear" w:color="auto" w:fill="auto"/>
          </w:tcPr>
          <w:p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rsidR="00C624B2" w:rsidRPr="00412C35" w:rsidRDefault="00C624B2" w:rsidP="00A16294">
            <w:pPr>
              <w:rPr>
                <w:rFonts w:cs="Microsoft Sans Serif"/>
              </w:rPr>
            </w:pPr>
            <w:r>
              <w:rPr>
                <w:rFonts w:cs="Microsoft Sans Serif"/>
              </w:rPr>
              <w:t>Política</w:t>
            </w:r>
          </w:p>
        </w:tc>
      </w:tr>
      <w:tr w:rsidR="00C624B2" w:rsidRPr="00412C35" w:rsidTr="00A16294">
        <w:tc>
          <w:tcPr>
            <w:tcW w:w="2161" w:type="dxa"/>
            <w:shd w:val="clear" w:color="auto" w:fill="auto"/>
          </w:tcPr>
          <w:p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rsidR="00C624B2" w:rsidRPr="00412C35" w:rsidRDefault="00C624B2" w:rsidP="00A16294">
            <w:pPr>
              <w:rPr>
                <w:rFonts w:cs="Microsoft Sans Serif"/>
              </w:rPr>
            </w:pPr>
          </w:p>
        </w:tc>
        <w:tc>
          <w:tcPr>
            <w:tcW w:w="1559" w:type="dxa"/>
            <w:shd w:val="clear" w:color="auto" w:fill="auto"/>
          </w:tcPr>
          <w:p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rsidR="00C624B2" w:rsidRPr="00412C35" w:rsidRDefault="00C624B2" w:rsidP="00A16294">
            <w:pPr>
              <w:rPr>
                <w:rFonts w:cs="Microsoft Sans Serif"/>
              </w:rPr>
            </w:pPr>
          </w:p>
        </w:tc>
      </w:tr>
    </w:tbl>
    <w:p w:rsidR="00C624B2" w:rsidRDefault="00C624B2">
      <w:pPr>
        <w:rPr>
          <w:lang w:val="es-ES"/>
        </w:rPr>
      </w:pPr>
    </w:p>
    <w:p w:rsidR="006E432F" w:rsidRPr="00412C35" w:rsidRDefault="006E432F" w:rsidP="006E432F">
      <w:pPr>
        <w:pStyle w:val="Ttulo1"/>
        <w:rPr>
          <w:lang w:eastAsia="es-UY"/>
        </w:rPr>
      </w:pPr>
      <w:r w:rsidRPr="27EF129B">
        <w:rPr>
          <w:lang w:eastAsia="es-UY"/>
        </w:rPr>
        <w:t>Objetivo</w:t>
      </w:r>
    </w:p>
    <w:p w:rsidR="006E432F" w:rsidRDefault="006E432F" w:rsidP="006E432F">
      <w:pPr>
        <w:rPr>
          <w:rFonts w:cs="Microsoft Sans Serif"/>
          <w:lang w:eastAsia="es-UY"/>
        </w:rPr>
      </w:pPr>
    </w:p>
    <w:p w:rsidR="006E432F" w:rsidRPr="00412C35" w:rsidRDefault="006E432F" w:rsidP="006E432F">
      <w:pPr>
        <w:rPr>
          <w:rFonts w:cs="Microsoft Sans Serif"/>
          <w:lang w:eastAsia="es-UY"/>
        </w:rPr>
      </w:pPr>
      <w:r w:rsidRPr="00412C35">
        <w:rPr>
          <w:rFonts w:cs="Microsoft Sans Serif"/>
          <w:lang w:eastAsia="es-UY"/>
        </w:rPr>
        <w:t>Mantener la seguridad de los activos de información que deban ser accedidos por proveedores.</w:t>
      </w:r>
    </w:p>
    <w:p w:rsidR="006E432F" w:rsidRPr="00412C35" w:rsidRDefault="006E432F" w:rsidP="006E432F">
      <w:pPr>
        <w:rPr>
          <w:rFonts w:cs="Microsoft Sans Serif"/>
          <w:lang w:eastAsia="es-UY"/>
        </w:rPr>
      </w:pPr>
    </w:p>
    <w:p w:rsidR="006E432F" w:rsidRPr="00412C35" w:rsidRDefault="006E432F" w:rsidP="006E432F">
      <w:pPr>
        <w:pStyle w:val="Ttulo1"/>
        <w:rPr>
          <w:lang w:eastAsia="es-UY"/>
        </w:rPr>
      </w:pPr>
      <w:r w:rsidRPr="27EF129B">
        <w:rPr>
          <w:lang w:eastAsia="es-UY"/>
        </w:rPr>
        <w:t>Alcance</w:t>
      </w:r>
    </w:p>
    <w:p w:rsidR="006E432F" w:rsidRDefault="006E432F" w:rsidP="006E432F">
      <w:pPr>
        <w:rPr>
          <w:rFonts w:cs="Microsoft Sans Serif"/>
          <w:lang w:eastAsia="es-UY"/>
        </w:rPr>
      </w:pPr>
    </w:p>
    <w:p w:rsidR="006E432F" w:rsidRDefault="006E432F" w:rsidP="006E432F">
      <w:pPr>
        <w:rPr>
          <w:rFonts w:cs="Microsoft Sans Serif"/>
          <w:lang w:eastAsia="es-UY"/>
        </w:rPr>
      </w:pPr>
      <w:r w:rsidRPr="00412C35">
        <w:rPr>
          <w:rFonts w:cs="Microsoft Sans Serif"/>
          <w:lang w:eastAsia="es-UY"/>
        </w:rPr>
        <w:t>Todos los activos de información que deban ser accedidos por proveedores.</w:t>
      </w:r>
    </w:p>
    <w:p w:rsidR="006E432F" w:rsidRPr="00412C35" w:rsidRDefault="006E432F" w:rsidP="006E432F">
      <w:pPr>
        <w:rPr>
          <w:rFonts w:cs="Microsoft Sans Serif"/>
          <w:lang w:eastAsia="es-UY"/>
        </w:rPr>
      </w:pPr>
    </w:p>
    <w:p w:rsidR="006E432F" w:rsidRPr="00412C35" w:rsidRDefault="006E432F" w:rsidP="006E432F">
      <w:pPr>
        <w:pStyle w:val="Ttulo1"/>
        <w:rPr>
          <w:lang w:eastAsia="es-UY"/>
        </w:rPr>
      </w:pPr>
      <w:r w:rsidRPr="27EF129B">
        <w:rPr>
          <w:lang w:eastAsia="es-UY"/>
        </w:rPr>
        <w:t>Responsabilidades</w:t>
      </w:r>
    </w:p>
    <w:p w:rsidR="006E432F" w:rsidRDefault="006E432F" w:rsidP="006E432F">
      <w:pPr>
        <w:rPr>
          <w:rFonts w:cs="Microsoft Sans Serif"/>
          <w:b/>
          <w:bCs/>
          <w:lang w:eastAsia="es-UY"/>
        </w:rPr>
      </w:pPr>
    </w:p>
    <w:p w:rsidR="006E432F" w:rsidRPr="00412C35" w:rsidRDefault="006E432F" w:rsidP="006E432F">
      <w:pPr>
        <w:rPr>
          <w:rFonts w:cs="Microsoft Sans Serif"/>
          <w:lang w:eastAsia="es-UY"/>
        </w:rPr>
      </w:pPr>
      <w:r w:rsidRPr="392EF258">
        <w:rPr>
          <w:rFonts w:cs="Microsoft Sans Serif"/>
          <w:b/>
          <w:bCs/>
          <w:lang w:eastAsia="es-UY"/>
        </w:rPr>
        <w:t>Responsable de Seguridad de la Información</w:t>
      </w:r>
      <w:r w:rsidRPr="392EF258">
        <w:rPr>
          <w:rFonts w:cs="Microsoft Sans Serif"/>
          <w:lang w:eastAsia="es-UY"/>
        </w:rPr>
        <w:t xml:space="preserve"> debe velar por el cumplimiento de la presente política. Deberá identificar y dar un orden a los controles de seguridad de la información para habilitar el acceso a un proveedor a los activos de información.</w:t>
      </w:r>
    </w:p>
    <w:p w:rsidR="006E432F" w:rsidRPr="00412C35" w:rsidRDefault="006E432F" w:rsidP="006E432F">
      <w:pPr>
        <w:rPr>
          <w:rFonts w:cs="Microsoft Sans Serif"/>
          <w:lang w:eastAsia="es-UY"/>
        </w:rPr>
      </w:pPr>
    </w:p>
    <w:p w:rsidR="006E432F" w:rsidRPr="00412C35" w:rsidRDefault="006E432F" w:rsidP="006E432F">
      <w:pPr>
        <w:rPr>
          <w:rFonts w:cs="Microsoft Sans Serif"/>
          <w:lang w:eastAsia="es-UY"/>
        </w:rPr>
      </w:pPr>
      <w:r w:rsidRPr="392EF258">
        <w:rPr>
          <w:rFonts w:cs="Microsoft Sans Serif"/>
          <w:b/>
          <w:bCs/>
          <w:lang w:eastAsia="es-UY"/>
        </w:rPr>
        <w:t xml:space="preserve">Propietario del activo </w:t>
      </w:r>
      <w:r w:rsidRPr="392EF258">
        <w:rPr>
          <w:rFonts w:cs="Microsoft Sans Serif"/>
          <w:lang w:eastAsia="es-UY"/>
        </w:rPr>
        <w:t>es responsable por evaluar y</w:t>
      </w:r>
      <w:r>
        <w:rPr>
          <w:rFonts w:cs="Microsoft Sans Serif"/>
          <w:lang w:eastAsia="es-UY"/>
        </w:rPr>
        <w:t>,</w:t>
      </w:r>
      <w:r w:rsidRPr="392EF258">
        <w:rPr>
          <w:rFonts w:cs="Microsoft Sans Serif"/>
          <w:lang w:eastAsia="es-UY"/>
        </w:rPr>
        <w:t xml:space="preserve"> autorizar o negar las solicitudes de acceso a los activos de información que se encuentren bajo su responsabilidad.</w:t>
      </w:r>
    </w:p>
    <w:p w:rsidR="006E432F" w:rsidRPr="00412C35" w:rsidRDefault="006E432F" w:rsidP="006E432F">
      <w:pPr>
        <w:rPr>
          <w:rFonts w:cs="Microsoft Sans Serif"/>
          <w:lang w:eastAsia="es-UY"/>
        </w:rPr>
      </w:pPr>
    </w:p>
    <w:p w:rsidR="006E432F" w:rsidRPr="00412C35" w:rsidRDefault="006E432F" w:rsidP="006E432F">
      <w:pPr>
        <w:rPr>
          <w:rFonts w:cs="Microsoft Sans Serif"/>
          <w:lang w:eastAsia="es-UY"/>
        </w:rPr>
      </w:pPr>
      <w:r w:rsidRPr="0767581C">
        <w:rPr>
          <w:rFonts w:cs="Microsoft Sans Serif"/>
          <w:b/>
          <w:bCs/>
          <w:lang w:eastAsia="es-UY"/>
        </w:rPr>
        <w:t>Responsable de tecnología de la información y/o el responsable de seguridad física</w:t>
      </w:r>
      <w:r w:rsidRPr="0767581C">
        <w:rPr>
          <w:rFonts w:cs="Microsoft Sans Serif"/>
          <w:lang w:eastAsia="es-UY"/>
        </w:rPr>
        <w:t xml:space="preserve">, son responsables por la asignación técnica de los permisos de acceso sobre los activos de información que hayan sido previamente autorizados a los proveedores. </w:t>
      </w:r>
    </w:p>
    <w:p w:rsidR="006E432F" w:rsidRPr="00412C35" w:rsidRDefault="006E432F" w:rsidP="006E432F">
      <w:pPr>
        <w:rPr>
          <w:rFonts w:cs="Microsoft Sans Serif"/>
          <w:lang w:eastAsia="es-UY"/>
        </w:rPr>
      </w:pPr>
    </w:p>
    <w:p w:rsidR="006E432F" w:rsidRPr="00412C35" w:rsidRDefault="006E432F" w:rsidP="006E432F">
      <w:pPr>
        <w:pStyle w:val="Ttulo1"/>
        <w:rPr>
          <w:lang w:eastAsia="es-UY"/>
        </w:rPr>
      </w:pPr>
      <w:r w:rsidRPr="27EF129B">
        <w:rPr>
          <w:lang w:eastAsia="es-UY"/>
        </w:rPr>
        <w:t>Políticas relacionadas</w:t>
      </w:r>
    </w:p>
    <w:p w:rsidR="006E432F" w:rsidRDefault="006E432F" w:rsidP="006E432F">
      <w:pPr>
        <w:rPr>
          <w:rFonts w:cs="Microsoft Sans Serif"/>
          <w:lang w:eastAsia="es-UY"/>
        </w:rPr>
      </w:pPr>
    </w:p>
    <w:p w:rsidR="006E432F" w:rsidRPr="00412C35" w:rsidRDefault="006E432F" w:rsidP="006E432F">
      <w:pPr>
        <w:rPr>
          <w:rFonts w:cs="Microsoft Sans Serif"/>
          <w:lang w:eastAsia="es-UY"/>
        </w:rPr>
      </w:pPr>
      <w:r w:rsidRPr="00412C35">
        <w:rPr>
          <w:rFonts w:cs="Microsoft Sans Serif"/>
          <w:lang w:eastAsia="es-UY"/>
        </w:rPr>
        <w:t>Política de gestión de acceso lógico</w:t>
      </w:r>
    </w:p>
    <w:p w:rsidR="006E432F" w:rsidRPr="00412C35" w:rsidRDefault="006E432F" w:rsidP="006E432F">
      <w:pPr>
        <w:rPr>
          <w:rFonts w:cs="Microsoft Sans Serif"/>
          <w:lang w:eastAsia="es-UY"/>
        </w:rPr>
      </w:pPr>
      <w:r w:rsidRPr="00412C35">
        <w:rPr>
          <w:rFonts w:cs="Microsoft Sans Serif"/>
          <w:lang w:eastAsia="es-UY"/>
        </w:rPr>
        <w:t>Política de gestión de acceso físico al centro de datos</w:t>
      </w:r>
    </w:p>
    <w:p w:rsidR="006E432F" w:rsidRPr="00412C35" w:rsidRDefault="006E432F" w:rsidP="006E432F">
      <w:pPr>
        <w:rPr>
          <w:rFonts w:cs="Microsoft Sans Serif"/>
          <w:lang w:eastAsia="es-UY"/>
        </w:rPr>
      </w:pPr>
      <w:r w:rsidRPr="00412C35">
        <w:rPr>
          <w:rFonts w:cs="Microsoft Sans Serif"/>
          <w:lang w:eastAsia="es-UY"/>
        </w:rPr>
        <w:t>Política de gestión de acceso físico a áreas seguras</w:t>
      </w:r>
    </w:p>
    <w:p w:rsidR="006E432F" w:rsidRDefault="006E432F" w:rsidP="006E432F">
      <w:pPr>
        <w:rPr>
          <w:rFonts w:cs="Microsoft Sans Serif"/>
          <w:lang w:eastAsia="es-UY"/>
        </w:rPr>
      </w:pPr>
      <w:r w:rsidRPr="00412C35">
        <w:rPr>
          <w:rFonts w:cs="Microsoft Sans Serif"/>
          <w:lang w:eastAsia="es-UY"/>
        </w:rPr>
        <w:t>Política de gestión de incidentes de seguridad de la información</w:t>
      </w:r>
    </w:p>
    <w:p w:rsidR="006E432F" w:rsidRPr="00412C35" w:rsidRDefault="006E432F" w:rsidP="006E432F">
      <w:pPr>
        <w:rPr>
          <w:rFonts w:cs="Microsoft Sans Serif"/>
          <w:lang w:eastAsia="es-UY"/>
        </w:rPr>
      </w:pPr>
    </w:p>
    <w:p w:rsidR="006E432F" w:rsidRDefault="006E432F" w:rsidP="006E432F">
      <w:pPr>
        <w:pStyle w:val="Ttulo1"/>
        <w:rPr>
          <w:lang w:eastAsia="es-UY"/>
        </w:rPr>
      </w:pPr>
      <w:bookmarkStart w:id="0" w:name="_GoBack"/>
      <w:r w:rsidRPr="392EF258">
        <w:rPr>
          <w:lang w:eastAsia="es-UY"/>
        </w:rPr>
        <w:t>Descripción</w:t>
      </w:r>
    </w:p>
    <w:bookmarkEnd w:id="0"/>
    <w:p w:rsidR="006E432F" w:rsidRPr="006E432F" w:rsidRDefault="006E432F" w:rsidP="006E432F">
      <w:pPr>
        <w:rPr>
          <w:lang w:val="es-UY" w:eastAsia="es-UY"/>
        </w:rPr>
      </w:pPr>
    </w:p>
    <w:p w:rsidR="006E432F" w:rsidRPr="00412C35" w:rsidRDefault="006E432F" w:rsidP="006E432F">
      <w:pPr>
        <w:rPr>
          <w:rFonts w:cs="Microsoft Sans Serif"/>
          <w:lang w:eastAsia="es-UY"/>
        </w:rPr>
      </w:pPr>
      <w:r w:rsidRPr="001577CB">
        <w:rPr>
          <w:rFonts w:cs="Microsoft Sans Serif"/>
          <w:lang w:eastAsia="es-UY"/>
        </w:rPr>
        <w:t>La organización debe:</w:t>
      </w:r>
    </w:p>
    <w:p w:rsidR="006E432F" w:rsidRPr="00412C35" w:rsidRDefault="006E432F" w:rsidP="006E432F">
      <w:pPr>
        <w:pStyle w:val="Prrafodelista"/>
        <w:numPr>
          <w:ilvl w:val="0"/>
          <w:numId w:val="1"/>
        </w:numPr>
        <w:ind w:left="709" w:hanging="304"/>
        <w:rPr>
          <w:rFonts w:cs="Microsoft Sans Serif"/>
          <w:lang w:eastAsia="es-UY"/>
        </w:rPr>
      </w:pPr>
      <w:r w:rsidRPr="001577CB">
        <w:rPr>
          <w:rFonts w:cs="Microsoft Sans Serif"/>
          <w:lang w:eastAsia="es-UY"/>
        </w:rPr>
        <w:t xml:space="preserve">identificar todos los proveedores de servicios que requieran el acceso tanto físico como lógico a activos de información. Un manejo inadecuado de la seguridad de la información en el relacionamiento con proveedores puede </w:t>
      </w:r>
      <w:r w:rsidRPr="001577CB">
        <w:rPr>
          <w:rFonts w:cs="Microsoft Sans Serif"/>
          <w:lang w:eastAsia="es-UY"/>
        </w:rPr>
        <w:lastRenderedPageBreak/>
        <w:t>poner en riesgo la imagen la organización ante la pérdida, robo, acceso no autorizado o divulgación no autorizada de información.</w:t>
      </w:r>
    </w:p>
    <w:p w:rsidR="006E432F" w:rsidRPr="00412C35" w:rsidRDefault="006E432F" w:rsidP="006E432F">
      <w:pPr>
        <w:pStyle w:val="Prrafodelista"/>
        <w:numPr>
          <w:ilvl w:val="0"/>
          <w:numId w:val="1"/>
        </w:numPr>
        <w:ind w:left="709"/>
        <w:rPr>
          <w:rFonts w:cs="Microsoft Sans Serif"/>
          <w:lang w:eastAsia="es-UY"/>
        </w:rPr>
      </w:pPr>
      <w:r w:rsidRPr="001577CB">
        <w:rPr>
          <w:rFonts w:cs="Microsoft Sans Serif"/>
          <w:lang w:eastAsia="es-UY"/>
        </w:rPr>
        <w:t xml:space="preserve">contar con un procedimiento formal para la </w:t>
      </w:r>
      <w:r w:rsidRPr="002145D3">
        <w:rPr>
          <w:rFonts w:cs="Microsoft Sans Serif"/>
          <w:lang w:eastAsia="es-UY"/>
        </w:rPr>
        <w:t>identificación</w:t>
      </w:r>
      <w:r w:rsidRPr="002145D3">
        <w:rPr>
          <w:rFonts w:cs="Microsoft Sans Serif"/>
          <w:b/>
          <w:bCs/>
          <w:lang w:eastAsia="es-UY"/>
        </w:rPr>
        <w:t xml:space="preserve"> </w:t>
      </w:r>
      <w:r w:rsidRPr="001577CB">
        <w:rPr>
          <w:rFonts w:cs="Microsoft Sans Serif"/>
          <w:lang w:eastAsia="es-UY"/>
        </w:rPr>
        <w:t>de los proveedores, que incluya el tipo de información que deberán acceder y los requisitos de seguridad mínimos para cada tipo de activo de información. La información recabada mediante este procedimiento, servirá de base para el establecimiento de la relación formal con los proveedores, contratos y acuerdos de niveles de servicios que deben existir para cada proveedor. Se debe establecer formalmente en los contratos y acuerdos las obligaciones de ambas partes (organización y proveedor) en relación a la seguridad de la información. Asimismo, se debe establecer la posibilidad de derecho a auditar los procesos y controles de los proveedores de servicios de la organización relacionados con el acuerdo.</w:t>
      </w:r>
    </w:p>
    <w:p w:rsidR="006E432F" w:rsidRPr="00412C35" w:rsidRDefault="006E432F" w:rsidP="006E432F">
      <w:pPr>
        <w:pStyle w:val="Prrafodelista"/>
        <w:numPr>
          <w:ilvl w:val="0"/>
          <w:numId w:val="1"/>
        </w:numPr>
        <w:ind w:left="709"/>
        <w:rPr>
          <w:rFonts w:cs="Microsoft Sans Serif"/>
          <w:lang w:eastAsia="es-UY"/>
        </w:rPr>
      </w:pPr>
      <w:r w:rsidRPr="00412C35">
        <w:rPr>
          <w:rFonts w:cs="Microsoft Sans Serif"/>
          <w:lang w:eastAsia="es-UY"/>
        </w:rPr>
        <w:t>considerar la gestión de incidentes de seguridad de la información asociada al acceso a activos de información por parte de proveedores. Los incidentes de seguridad de la información deberán ser gestionados según lo acordado en la Política de gestión de incidentes de seguridad de la información.</w:t>
      </w:r>
    </w:p>
    <w:p w:rsidR="00C624B2" w:rsidRPr="006E432F" w:rsidRDefault="00C624B2"/>
    <w:p w:rsidR="00C624B2" w:rsidRPr="004A7B1C" w:rsidRDefault="00C624B2" w:rsidP="00C624B2">
      <w:pPr>
        <w:pStyle w:val="Ttulo1"/>
        <w:rPr>
          <w:rFonts w:cs="Microsoft Sans Serif"/>
          <w:lang w:eastAsia="es-UY"/>
        </w:rPr>
      </w:pPr>
      <w:r w:rsidRPr="00102E06">
        <w:rPr>
          <w:lang w:eastAsia="es-UY"/>
        </w:rPr>
        <w:t>Cumplimiento</w:t>
      </w:r>
    </w:p>
    <w:p w:rsidR="00C624B2" w:rsidRDefault="00C624B2" w:rsidP="00C624B2">
      <w:pPr>
        <w:rPr>
          <w:rFonts w:cs="Microsoft Sans Serif"/>
          <w:lang w:eastAsia="es-UY"/>
        </w:rPr>
      </w:pPr>
      <w:r w:rsidRPr="762ADBE3">
        <w:rPr>
          <w:rFonts w:cs="Microsoft Sans Serif"/>
        </w:rPr>
        <w:t>Se destaca que el incumplimiento de la presente política aumenta la exposición de la información y el riesgo de tener un incidente de seguridad de la información.</w:t>
      </w:r>
      <w:r w:rsidRPr="762ADBE3">
        <w:rPr>
          <w:rFonts w:cs="Microsoft Sans Serif"/>
          <w:lang w:eastAsia="es-UY"/>
        </w:rPr>
        <w:t xml:space="preserve"> Ante la verificación de un incumplimiento la Dirección podrá tomar las medidas que se considere pertinentes, a efectos de darle el debido cumplimiento. </w:t>
      </w:r>
    </w:p>
    <w:p w:rsidR="00C624B2" w:rsidRDefault="00C624B2" w:rsidP="00C624B2">
      <w:pPr>
        <w:rPr>
          <w:rFonts w:eastAsiaTheme="majorEastAsia" w:cstheme="majorBidi"/>
          <w:b/>
          <w:color w:val="374C92"/>
          <w:sz w:val="28"/>
          <w:szCs w:val="32"/>
          <w:lang w:eastAsia="es-UY"/>
        </w:rPr>
      </w:pPr>
    </w:p>
    <w:p w:rsidR="00C624B2" w:rsidRPr="00412C35" w:rsidRDefault="00C624B2" w:rsidP="00C624B2">
      <w:pPr>
        <w:pStyle w:val="Ttulo1"/>
        <w:rPr>
          <w:lang w:eastAsia="es-UY"/>
        </w:rPr>
      </w:pPr>
      <w:r w:rsidRPr="00412C35">
        <w:rPr>
          <w:lang w:eastAsia="es-UY"/>
        </w:rPr>
        <w:t>Historial de revisiones</w:t>
      </w:r>
    </w:p>
    <w:p w:rsidR="00C624B2" w:rsidRPr="00412C35" w:rsidRDefault="00C624B2" w:rsidP="00C624B2">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2"/>
        <w:gridCol w:w="4562"/>
      </w:tblGrid>
      <w:tr w:rsidR="00C624B2" w:rsidRPr="00412C35" w:rsidTr="00A16294">
        <w:trPr>
          <w:trHeight w:val="448"/>
        </w:trPr>
        <w:tc>
          <w:tcPr>
            <w:tcW w:w="2178"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Fecha de revisión</w:t>
            </w:r>
          </w:p>
        </w:tc>
        <w:tc>
          <w:tcPr>
            <w:tcW w:w="2070"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Responsable</w:t>
            </w:r>
          </w:p>
        </w:tc>
        <w:tc>
          <w:tcPr>
            <w:tcW w:w="5328"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Resumen de cambios</w:t>
            </w:r>
          </w:p>
        </w:tc>
      </w:tr>
      <w:tr w:rsidR="00C624B2" w:rsidRPr="00412C35" w:rsidTr="00A16294">
        <w:trPr>
          <w:trHeight w:val="469"/>
        </w:trPr>
        <w:tc>
          <w:tcPr>
            <w:tcW w:w="2178" w:type="dxa"/>
            <w:shd w:val="clear" w:color="auto" w:fill="auto"/>
          </w:tcPr>
          <w:p w:rsidR="00C624B2" w:rsidRPr="00412C35" w:rsidRDefault="00C624B2" w:rsidP="00A16294">
            <w:pPr>
              <w:rPr>
                <w:rFonts w:eastAsia="Times New Roman" w:cs="Microsoft Sans Serif"/>
                <w:bCs/>
                <w:color w:val="000000"/>
                <w:lang w:eastAsia="es-UY"/>
              </w:rPr>
            </w:pPr>
          </w:p>
        </w:tc>
        <w:tc>
          <w:tcPr>
            <w:tcW w:w="2070" w:type="dxa"/>
            <w:shd w:val="clear" w:color="auto" w:fill="auto"/>
          </w:tcPr>
          <w:p w:rsidR="00C624B2" w:rsidRPr="00412C35" w:rsidRDefault="00C624B2" w:rsidP="00A16294">
            <w:pPr>
              <w:rPr>
                <w:rFonts w:eastAsia="Times New Roman" w:cs="Microsoft Sans Serif"/>
                <w:bCs/>
                <w:color w:val="000000"/>
                <w:lang w:eastAsia="es-UY"/>
              </w:rPr>
            </w:pPr>
          </w:p>
        </w:tc>
        <w:tc>
          <w:tcPr>
            <w:tcW w:w="5328" w:type="dxa"/>
            <w:shd w:val="clear" w:color="auto" w:fill="auto"/>
          </w:tcPr>
          <w:p w:rsidR="00C624B2" w:rsidRPr="00412C35" w:rsidRDefault="00C624B2" w:rsidP="00A16294">
            <w:pPr>
              <w:rPr>
                <w:rFonts w:eastAsia="Times New Roman" w:cs="Microsoft Sans Serif"/>
                <w:bCs/>
                <w:color w:val="000000"/>
                <w:lang w:eastAsia="es-UY"/>
              </w:rPr>
            </w:pPr>
          </w:p>
        </w:tc>
      </w:tr>
    </w:tbl>
    <w:p w:rsidR="00C624B2" w:rsidRPr="00412C35" w:rsidRDefault="00C624B2" w:rsidP="00C624B2">
      <w:pPr>
        <w:rPr>
          <w:rFonts w:eastAsia="Times New Roman" w:cs="Microsoft Sans Serif"/>
          <w:b/>
          <w:bCs/>
          <w:lang w:eastAsia="es-UY"/>
        </w:rPr>
      </w:pPr>
    </w:p>
    <w:p w:rsidR="00C624B2" w:rsidRDefault="00C624B2" w:rsidP="00C624B2">
      <w:pPr>
        <w:rPr>
          <w:lang w:val="es-ES"/>
        </w:rPr>
      </w:pPr>
      <w:r>
        <w:rPr>
          <w:lang w:val="es-ES"/>
        </w:rPr>
        <w:br w:type="page"/>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D38B4" w:rsidRDefault="000D38B4">
      <w:pPr>
        <w:rPr>
          <w:lang w:val="es-ES"/>
        </w:rPr>
      </w:pPr>
    </w:p>
    <w:p w:rsidR="00581ADB" w:rsidRDefault="00581ADB">
      <w:pPr>
        <w:rPr>
          <w:lang w:val="es-ES"/>
        </w:rPr>
      </w:pPr>
    </w:p>
    <w:p w:rsidR="000D38B4" w:rsidRDefault="00082091" w:rsidP="00082091">
      <w:pPr>
        <w:ind w:left="-1560"/>
        <w:rPr>
          <w:lang w:val="es-ES"/>
        </w:rPr>
      </w:pPr>
      <w:r>
        <w:rPr>
          <w:noProof/>
          <w:lang w:val="es-UY" w:eastAsia="es-UY"/>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1A" w:rsidRDefault="00D1101A" w:rsidP="000D38B4">
      <w:r>
        <w:separator/>
      </w:r>
    </w:p>
  </w:endnote>
  <w:endnote w:type="continuationSeparator" w:id="0">
    <w:p w:rsidR="00D1101A" w:rsidRDefault="00D1101A"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1A" w:rsidRDefault="00D1101A" w:rsidP="000D38B4">
      <w:r>
        <w:separator/>
      </w:r>
    </w:p>
  </w:footnote>
  <w:footnote w:type="continuationSeparator" w:id="0">
    <w:p w:rsidR="00D1101A" w:rsidRDefault="00D1101A" w:rsidP="000D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26F8"/>
    <w:multiLevelType w:val="hybridMultilevel"/>
    <w:tmpl w:val="5B0E8F5C"/>
    <w:lvl w:ilvl="0" w:tplc="380A0019">
      <w:start w:val="1"/>
      <w:numFmt w:val="lowerLetter"/>
      <w:lvlText w:val="%1."/>
      <w:lvlJc w:val="left"/>
      <w:pPr>
        <w:ind w:left="765" w:hanging="360"/>
      </w:pPr>
    </w:lvl>
    <w:lvl w:ilvl="1" w:tplc="380A0019" w:tentative="1">
      <w:start w:val="1"/>
      <w:numFmt w:val="lowerLetter"/>
      <w:lvlText w:val="%2."/>
      <w:lvlJc w:val="left"/>
      <w:pPr>
        <w:ind w:left="1485" w:hanging="360"/>
      </w:pPr>
    </w:lvl>
    <w:lvl w:ilvl="2" w:tplc="380A001B" w:tentative="1">
      <w:start w:val="1"/>
      <w:numFmt w:val="lowerRoman"/>
      <w:lvlText w:val="%3."/>
      <w:lvlJc w:val="right"/>
      <w:pPr>
        <w:ind w:left="2205" w:hanging="180"/>
      </w:pPr>
    </w:lvl>
    <w:lvl w:ilvl="3" w:tplc="380A000F" w:tentative="1">
      <w:start w:val="1"/>
      <w:numFmt w:val="decimal"/>
      <w:lvlText w:val="%4."/>
      <w:lvlJc w:val="left"/>
      <w:pPr>
        <w:ind w:left="2925" w:hanging="360"/>
      </w:pPr>
    </w:lvl>
    <w:lvl w:ilvl="4" w:tplc="380A0019" w:tentative="1">
      <w:start w:val="1"/>
      <w:numFmt w:val="lowerLetter"/>
      <w:lvlText w:val="%5."/>
      <w:lvlJc w:val="left"/>
      <w:pPr>
        <w:ind w:left="3645" w:hanging="360"/>
      </w:pPr>
    </w:lvl>
    <w:lvl w:ilvl="5" w:tplc="380A001B" w:tentative="1">
      <w:start w:val="1"/>
      <w:numFmt w:val="lowerRoman"/>
      <w:lvlText w:val="%6."/>
      <w:lvlJc w:val="right"/>
      <w:pPr>
        <w:ind w:left="4365" w:hanging="180"/>
      </w:pPr>
    </w:lvl>
    <w:lvl w:ilvl="6" w:tplc="380A000F" w:tentative="1">
      <w:start w:val="1"/>
      <w:numFmt w:val="decimal"/>
      <w:lvlText w:val="%7."/>
      <w:lvlJc w:val="left"/>
      <w:pPr>
        <w:ind w:left="5085" w:hanging="360"/>
      </w:pPr>
    </w:lvl>
    <w:lvl w:ilvl="7" w:tplc="380A0019" w:tentative="1">
      <w:start w:val="1"/>
      <w:numFmt w:val="lowerLetter"/>
      <w:lvlText w:val="%8."/>
      <w:lvlJc w:val="left"/>
      <w:pPr>
        <w:ind w:left="5805" w:hanging="360"/>
      </w:pPr>
    </w:lvl>
    <w:lvl w:ilvl="8" w:tplc="380A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2F"/>
    <w:rsid w:val="00082091"/>
    <w:rsid w:val="000D38B4"/>
    <w:rsid w:val="0011079F"/>
    <w:rsid w:val="00365975"/>
    <w:rsid w:val="003B1C56"/>
    <w:rsid w:val="00581ADB"/>
    <w:rsid w:val="005F5AD5"/>
    <w:rsid w:val="0063230A"/>
    <w:rsid w:val="006E432F"/>
    <w:rsid w:val="00862773"/>
    <w:rsid w:val="00AE1594"/>
    <w:rsid w:val="00B52E01"/>
    <w:rsid w:val="00C15334"/>
    <w:rsid w:val="00C624B2"/>
    <w:rsid w:val="00C92891"/>
    <w:rsid w:val="00D1101A"/>
    <w:rsid w:val="762ADB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23CE8A96-EDB9-43FE-9758-F0939F9F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paragraph" w:styleId="Ttulo2">
    <w:name w:val="heading 2"/>
    <w:basedOn w:val="Normal"/>
    <w:next w:val="Normal"/>
    <w:link w:val="Ttulo2Car"/>
    <w:uiPriority w:val="9"/>
    <w:semiHidden/>
    <w:unhideWhenUsed/>
    <w:qFormat/>
    <w:rsid w:val="006E43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character" w:customStyle="1" w:styleId="Ttulo2Car">
    <w:name w:val="Título 2 Car"/>
    <w:basedOn w:val="Fuentedeprrafopredeter"/>
    <w:link w:val="Ttulo2"/>
    <w:uiPriority w:val="9"/>
    <w:semiHidden/>
    <w:rsid w:val="006E432F"/>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6E432F"/>
    <w:pPr>
      <w:spacing w:after="160" w:line="256" w:lineRule="auto"/>
      <w:ind w:left="720"/>
      <w:contextualSpacing/>
    </w:pPr>
    <w:rPr>
      <w:rFonts w:ascii="Microsoft Sans Serif" w:eastAsia="Calibri" w:hAnsi="Microsoft Sans Serif" w:cs="Times New Roman"/>
      <w:sz w:val="22"/>
      <w:szCs w:val="2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na.ferreira\Downloads\template%20Politica%20MCU.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54D32F41C0C4BBBB136A0AB5ED2EB" ma:contentTypeVersion="15" ma:contentTypeDescription="Create a new document." ma:contentTypeScope="" ma:versionID="b13c572baa55fae6c81febbaece086e9">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d76db151b5762833b388d1137e832570"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6B52A-76DC-4447-9FBE-BA2C156FEB1B}">
  <ds:schemaRefs>
    <ds:schemaRef ds:uri="http://schemas.microsoft.com/sharepoint/v3/contenttype/forms"/>
  </ds:schemaRefs>
</ds:datastoreItem>
</file>

<file path=customXml/itemProps2.xml><?xml version="1.0" encoding="utf-8"?>
<ds:datastoreItem xmlns:ds="http://schemas.openxmlformats.org/officeDocument/2006/customXml" ds:itemID="{60409DAD-D400-496F-908C-4AAA8575D86E}">
  <ds:schemaRefs>
    <ds:schemaRef ds:uri="http://schemas.microsoft.com/office/2006/metadata/properties"/>
    <ds:schemaRef ds:uri="http://schemas.microsoft.com/office/infopath/2007/PartnerControls"/>
    <ds:schemaRef ds:uri="b1f0de35-1437-4539-8539-632ee4ed0d3b"/>
    <ds:schemaRef ds:uri="1d36ff73-39f8-44c4-a830-f302c958ceff"/>
  </ds:schemaRefs>
</ds:datastoreItem>
</file>

<file path=customXml/itemProps3.xml><?xml version="1.0" encoding="utf-8"?>
<ds:datastoreItem xmlns:ds="http://schemas.openxmlformats.org/officeDocument/2006/customXml" ds:itemID="{99D5A559-C333-48AF-A62E-4808EF271387}"/>
</file>

<file path=docProps/app.xml><?xml version="1.0" encoding="utf-8"?>
<Properties xmlns="http://schemas.openxmlformats.org/officeDocument/2006/extended-properties" xmlns:vt="http://schemas.openxmlformats.org/officeDocument/2006/docPropsVTypes">
  <Template>template Politica MCU.dotx</Template>
  <TotalTime>2</TotalTime>
  <Pages>5</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Ferreira</dc:creator>
  <cp:keywords/>
  <dc:description/>
  <cp:lastModifiedBy>Silvina Ferreira</cp:lastModifiedBy>
  <cp:revision>1</cp:revision>
  <dcterms:created xsi:type="dcterms:W3CDTF">2022-06-28T17:00:00Z</dcterms:created>
  <dcterms:modified xsi:type="dcterms:W3CDTF">2022-06-28T17:03:00Z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y fmtid="{D5CDD505-2E9C-101B-9397-08002B2CF9AE}" pid="3" name="MediaServiceImageTags">
    <vt:lpwstr/>
  </property>
</Properties>
</file>