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9287978"/>
        <w:docPartObj>
          <w:docPartGallery w:val="Cover Pages"/>
          <w:docPartUnique/>
        </w:docPartObj>
      </w:sdtPr>
      <w:sdtEndPr>
        <w:rPr>
          <w:lang w:val="es-ES"/>
        </w:rPr>
      </w:sdtEndPr>
      <w:sdtContent>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862773" w:rsidP="000D38B4">
          <w:pPr>
            <w:ind w:left="-1701"/>
          </w:pPr>
          <w:r>
            <w:rPr>
              <w:noProof/>
              <w:lang w:val="es-UY" w:eastAsia="es-UY"/>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0"/>
                        <a:stretch>
                          <a:fillRect/>
                        </a:stretch>
                      </pic:blipFill>
                      <pic:spPr>
                        <a:xfrm>
                          <a:off x="0" y="0"/>
                          <a:ext cx="7554907" cy="6494304"/>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862773" w:rsidP="00862773">
          <w:pPr>
            <w:jc w:val="center"/>
            <w:rPr>
              <w:lang w:val="es-ES"/>
            </w:rPr>
          </w:pPr>
          <w:r w:rsidRPr="00AE1594">
            <w:rPr>
              <w:noProof/>
              <w:lang w:val="es-UY" w:eastAsia="es-UY"/>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2694129" cy="504063"/>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rsidP="00AE1594">
          <w:pPr>
            <w:jc w:val="center"/>
            <w:rPr>
              <w:lang w:val="es-ES"/>
            </w:rPr>
          </w:pPr>
        </w:p>
        <w:p w:rsidR="000D38B4" w:rsidRDefault="00F80CB6" w:rsidP="00AE1594">
          <w:pPr>
            <w:rPr>
              <w:lang w:val="es-ES"/>
            </w:rPr>
          </w:pPr>
        </w:p>
      </w:sdtContent>
    </w:sdt>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Pr="000D38B4" w:rsidRDefault="000D38B4">
      <w:pPr>
        <w:rPr>
          <w:color w:val="05418E"/>
          <w:lang w:val="es-ES"/>
        </w:rPr>
      </w:pPr>
    </w:p>
    <w:p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rsidR="000D38B4" w:rsidRPr="000D38B4" w:rsidRDefault="00082091">
      <w:pPr>
        <w:rPr>
          <w:rFonts w:ascii="Montserrat Light" w:hAnsi="Montserrat Light"/>
          <w:color w:val="05418E"/>
          <w:sz w:val="50"/>
          <w:szCs w:val="50"/>
        </w:rPr>
      </w:pPr>
      <w:r>
        <w:rPr>
          <w:noProof/>
          <w:lang w:val="es-UY" w:eastAsia="es-UY"/>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rsidR="000D38B4" w:rsidRDefault="000D38B4">
      <w:pPr>
        <w:rPr>
          <w:lang w:val="es-ES"/>
        </w:rPr>
      </w:pPr>
    </w:p>
    <w:p w:rsidR="00082091" w:rsidRDefault="00082091" w:rsidP="000D38B4">
      <w:pPr>
        <w:rPr>
          <w:rFonts w:ascii="Montserrat Light" w:hAnsi="Montserrat Light"/>
          <w:color w:val="262626" w:themeColor="text1" w:themeTint="D9"/>
        </w:rPr>
      </w:pPr>
    </w:p>
    <w:p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rsidR="00082091" w:rsidRPr="00581ADB" w:rsidRDefault="00082091" w:rsidP="000D38B4">
      <w:pPr>
        <w:rPr>
          <w:rFonts w:ascii="Montserrat Light" w:hAnsi="Montserrat Light"/>
          <w:color w:val="262626" w:themeColor="text1" w:themeTint="D9"/>
        </w:rPr>
      </w:pP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rsidR="000D38B4" w:rsidRPr="000D38B4" w:rsidRDefault="000D38B4">
      <w:pPr>
        <w:rPr>
          <w:color w:val="262626" w:themeColor="text1" w:themeTint="D9"/>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C624B2" w:rsidRDefault="00C624B2">
      <w:pPr>
        <w:rPr>
          <w:lang w:val="es-ES"/>
        </w:rPr>
      </w:pPr>
      <w:r>
        <w:rPr>
          <w:lang w:val="es-ES"/>
        </w:rPr>
        <w:br w:type="page"/>
      </w:r>
    </w:p>
    <w:p w:rsidR="000D38B4" w:rsidRDefault="00C624B2" w:rsidP="00C624B2">
      <w:pPr>
        <w:pStyle w:val="Ttulo"/>
        <w:rPr>
          <w:lang w:val="es-ES"/>
        </w:rPr>
      </w:pPr>
      <w:r>
        <w:rPr>
          <w:lang w:val="es-ES"/>
        </w:rPr>
        <w:lastRenderedPageBreak/>
        <w:t>Política de</w:t>
      </w:r>
      <w:r w:rsidR="00F80CB6">
        <w:rPr>
          <w:lang w:val="es-ES"/>
        </w:rPr>
        <w:t xml:space="preserve"> </w:t>
      </w:r>
      <w:r w:rsidR="00F80CB6" w:rsidRPr="00F80CB6">
        <w:rPr>
          <w:lang w:val="es-ES"/>
        </w:rPr>
        <w:t>Separación de entornos</w:t>
      </w:r>
    </w:p>
    <w:p w:rsidR="000D38B4" w:rsidRDefault="000D38B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029"/>
        <w:gridCol w:w="1542"/>
        <w:gridCol w:w="2783"/>
      </w:tblGrid>
      <w:tr w:rsidR="00C624B2" w:rsidRPr="00412C35" w:rsidTr="00A16294">
        <w:tc>
          <w:tcPr>
            <w:tcW w:w="2161" w:type="dxa"/>
            <w:shd w:val="clear" w:color="auto" w:fill="auto"/>
          </w:tcPr>
          <w:p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rsidR="00C624B2" w:rsidRPr="00412C35" w:rsidRDefault="00F80CB6" w:rsidP="00A16294">
            <w:pPr>
              <w:rPr>
                <w:rFonts w:cs="Microsoft Sans Serif"/>
              </w:rPr>
            </w:pPr>
            <w:r>
              <w:rPr>
                <w:rFonts w:cs="Microsoft Sans Serif"/>
              </w:rPr>
              <w:t>2</w:t>
            </w:r>
            <w:r w:rsidR="00C624B2" w:rsidRPr="00412C35">
              <w:rPr>
                <w:rFonts w:cs="Microsoft Sans Serif"/>
              </w:rPr>
              <w:t>.0</w:t>
            </w:r>
          </w:p>
        </w:tc>
        <w:tc>
          <w:tcPr>
            <w:tcW w:w="1559" w:type="dxa"/>
            <w:shd w:val="clear" w:color="auto" w:fill="auto"/>
          </w:tcPr>
          <w:p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rsidR="00C624B2" w:rsidRPr="00412C35" w:rsidRDefault="00C624B2" w:rsidP="00A16294">
            <w:pPr>
              <w:rPr>
                <w:rFonts w:cs="Microsoft Sans Serif"/>
              </w:rPr>
            </w:pPr>
            <w:r>
              <w:rPr>
                <w:rFonts w:cs="Microsoft Sans Serif"/>
              </w:rPr>
              <w:t>Política</w:t>
            </w:r>
          </w:p>
        </w:tc>
      </w:tr>
      <w:tr w:rsidR="00C624B2" w:rsidRPr="00412C35" w:rsidTr="00A16294">
        <w:tc>
          <w:tcPr>
            <w:tcW w:w="2161" w:type="dxa"/>
            <w:shd w:val="clear" w:color="auto" w:fill="auto"/>
          </w:tcPr>
          <w:p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rsidR="00C624B2" w:rsidRPr="00412C35" w:rsidRDefault="00F80CB6" w:rsidP="00F80CB6">
            <w:pPr>
              <w:rPr>
                <w:rFonts w:cs="Microsoft Sans Serif"/>
              </w:rPr>
            </w:pPr>
            <w:r>
              <w:rPr>
                <w:rFonts w:cs="Microsoft Sans Serif"/>
              </w:rPr>
              <w:t>11</w:t>
            </w:r>
            <w:r w:rsidR="00C624B2" w:rsidRPr="00412C35">
              <w:rPr>
                <w:rFonts w:cs="Microsoft Sans Serif"/>
              </w:rPr>
              <w:t>/</w:t>
            </w:r>
            <w:r w:rsidR="00C624B2">
              <w:rPr>
                <w:rFonts w:cs="Microsoft Sans Serif"/>
              </w:rPr>
              <w:t>0</w:t>
            </w:r>
            <w:r>
              <w:rPr>
                <w:rFonts w:cs="Microsoft Sans Serif"/>
              </w:rPr>
              <w:t>7</w:t>
            </w:r>
            <w:r w:rsidR="00C624B2" w:rsidRPr="00412C35">
              <w:rPr>
                <w:rFonts w:cs="Microsoft Sans Serif"/>
              </w:rPr>
              <w:t>/20</w:t>
            </w:r>
            <w:r w:rsidR="00C624B2">
              <w:rPr>
                <w:rFonts w:cs="Microsoft Sans Serif"/>
              </w:rPr>
              <w:t>22</w:t>
            </w:r>
          </w:p>
        </w:tc>
        <w:tc>
          <w:tcPr>
            <w:tcW w:w="1559" w:type="dxa"/>
            <w:shd w:val="clear" w:color="auto" w:fill="auto"/>
          </w:tcPr>
          <w:p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rsidR="00C624B2" w:rsidRPr="00412C35" w:rsidRDefault="00C624B2" w:rsidP="00A16294">
            <w:pPr>
              <w:rPr>
                <w:rFonts w:cs="Microsoft Sans Serif"/>
              </w:rPr>
            </w:pPr>
          </w:p>
        </w:tc>
      </w:tr>
    </w:tbl>
    <w:p w:rsidR="00C624B2" w:rsidRDefault="00C624B2">
      <w:pPr>
        <w:rPr>
          <w:lang w:val="es-ES"/>
        </w:rPr>
      </w:pPr>
    </w:p>
    <w:p w:rsidR="00F80CB6" w:rsidRPr="00412C35" w:rsidRDefault="00F80CB6" w:rsidP="00F80CB6">
      <w:pPr>
        <w:pStyle w:val="Ttulo1"/>
        <w:rPr>
          <w:lang w:eastAsia="es-UY"/>
        </w:rPr>
      </w:pPr>
      <w:r w:rsidRPr="3B462B51">
        <w:rPr>
          <w:lang w:eastAsia="es-UY"/>
        </w:rPr>
        <w:t>Objetivo</w:t>
      </w:r>
    </w:p>
    <w:p w:rsidR="00F80CB6" w:rsidRDefault="00F80CB6" w:rsidP="00F80CB6">
      <w:pPr>
        <w:rPr>
          <w:rFonts w:cs="Microsoft Sans Serif"/>
        </w:rPr>
      </w:pPr>
    </w:p>
    <w:p w:rsidR="00F80CB6" w:rsidRPr="00412C35" w:rsidRDefault="00F80CB6" w:rsidP="00F80CB6">
      <w:pPr>
        <w:rPr>
          <w:shd w:val="clear" w:color="auto" w:fill="FFFFFF"/>
        </w:rPr>
      </w:pPr>
      <w:r w:rsidRPr="00412C35">
        <w:rPr>
          <w:shd w:val="clear" w:color="auto" w:fill="FFFFFF"/>
        </w:rPr>
        <w:t>Reducir el riesgo de cambios o accesos no autorizados en el ambiente de producción.</w:t>
      </w:r>
    </w:p>
    <w:p w:rsidR="00F80CB6" w:rsidRDefault="00F80CB6" w:rsidP="00F80CB6">
      <w:pPr>
        <w:pStyle w:val="Ttulo2"/>
        <w:numPr>
          <w:ilvl w:val="1"/>
          <w:numId w:val="0"/>
        </w:numPr>
        <w:ind w:left="576" w:hanging="576"/>
        <w:rPr>
          <w:rFonts w:cs="Microsoft Sans Serif"/>
          <w:lang w:val="es-UY" w:eastAsia="es-UY"/>
        </w:rPr>
      </w:pPr>
    </w:p>
    <w:p w:rsidR="00F80CB6" w:rsidRPr="00412C35" w:rsidRDefault="00F80CB6" w:rsidP="00F80CB6">
      <w:pPr>
        <w:pStyle w:val="Ttulo1"/>
        <w:rPr>
          <w:lang w:eastAsia="es-UY"/>
        </w:rPr>
      </w:pPr>
      <w:r w:rsidRPr="3B462B51">
        <w:rPr>
          <w:lang w:eastAsia="es-UY"/>
        </w:rPr>
        <w:t>Alcance</w:t>
      </w:r>
    </w:p>
    <w:p w:rsidR="00F80CB6" w:rsidRDefault="00F80CB6" w:rsidP="00F80CB6">
      <w:pPr>
        <w:rPr>
          <w:rFonts w:cs="Microsoft Sans Serif"/>
        </w:rPr>
      </w:pPr>
    </w:p>
    <w:p w:rsidR="00F80CB6" w:rsidRPr="00412C35" w:rsidRDefault="00F80CB6" w:rsidP="00F80CB6">
      <w:pPr>
        <w:rPr>
          <w:rFonts w:cs="Microsoft Sans Serif"/>
          <w:shd w:val="clear" w:color="auto" w:fill="FFFFFF"/>
        </w:rPr>
      </w:pPr>
      <w:r w:rsidRPr="00412C35">
        <w:rPr>
          <w:rFonts w:cs="Microsoft Sans Serif"/>
          <w:shd w:val="clear" w:color="auto" w:fill="FFFFFF"/>
        </w:rPr>
        <w:t xml:space="preserve">Todas las aplicaciones informáticas, sean o no desarrollados por </w:t>
      </w:r>
      <w:r>
        <w:rPr>
          <w:rFonts w:cs="Microsoft Sans Serif"/>
          <w:shd w:val="clear" w:color="auto" w:fill="FFFFFF"/>
        </w:rPr>
        <w:t>la organización</w:t>
      </w:r>
      <w:r w:rsidRPr="00412C35">
        <w:rPr>
          <w:rFonts w:cs="Microsoft Sans Serif"/>
          <w:shd w:val="clear" w:color="auto" w:fill="FFFFFF"/>
        </w:rPr>
        <w:t>, que requieran o sufran cambios a lo largo de su ciclo de vida. Incluye, sin ser taxativo, herramientas para la administración de la red, seguridad, incidentes, antivirus, gestión de parches, etc.</w:t>
      </w:r>
    </w:p>
    <w:p w:rsidR="00F80CB6" w:rsidRDefault="00F80CB6" w:rsidP="00F80CB6">
      <w:pPr>
        <w:pStyle w:val="Ttulo2"/>
        <w:numPr>
          <w:ilvl w:val="1"/>
          <w:numId w:val="0"/>
        </w:numPr>
        <w:ind w:left="576" w:hanging="576"/>
        <w:rPr>
          <w:rFonts w:cs="Microsoft Sans Serif"/>
          <w:lang w:val="es-UY" w:eastAsia="es-UY"/>
        </w:rPr>
      </w:pPr>
    </w:p>
    <w:p w:rsidR="00F80CB6" w:rsidRPr="00412C35" w:rsidRDefault="00F80CB6" w:rsidP="00F80CB6">
      <w:pPr>
        <w:pStyle w:val="Ttulo1"/>
        <w:rPr>
          <w:lang w:eastAsia="es-UY"/>
        </w:rPr>
      </w:pPr>
      <w:r w:rsidRPr="3B462B51">
        <w:rPr>
          <w:lang w:eastAsia="es-UY"/>
        </w:rPr>
        <w:t>Responsabilidades</w:t>
      </w:r>
    </w:p>
    <w:p w:rsidR="00F80CB6" w:rsidRDefault="00F80CB6" w:rsidP="00F80CB6">
      <w:pPr>
        <w:rPr>
          <w:rFonts w:cs="Microsoft Sans Serif"/>
          <w:b/>
          <w:bCs/>
          <w:lang w:eastAsia="es-UY"/>
        </w:rPr>
      </w:pPr>
    </w:p>
    <w:p w:rsidR="00F80CB6" w:rsidRPr="00412C35" w:rsidRDefault="00F80CB6" w:rsidP="00F80CB6">
      <w:pPr>
        <w:rPr>
          <w:rFonts w:cs="Microsoft Sans Serif"/>
          <w:lang w:eastAsia="es-UY"/>
        </w:rPr>
      </w:pPr>
      <w:r w:rsidRPr="00412C35">
        <w:rPr>
          <w:rFonts w:cs="Microsoft Sans Serif"/>
          <w:b/>
          <w:lang w:eastAsia="es-UY"/>
        </w:rPr>
        <w:t>Responsable de seguridad de la información</w:t>
      </w:r>
      <w:r w:rsidRPr="00412C35">
        <w:rPr>
          <w:rFonts w:cs="Microsoft Sans Serif"/>
          <w:lang w:eastAsia="es-UY"/>
        </w:rPr>
        <w:t xml:space="preserve"> debe velar por el cumplimiento de la presente política. </w:t>
      </w:r>
    </w:p>
    <w:p w:rsidR="00F80CB6" w:rsidRPr="00412C35" w:rsidRDefault="00F80CB6" w:rsidP="00F80CB6">
      <w:pPr>
        <w:rPr>
          <w:rFonts w:cs="Microsoft Sans Serif"/>
          <w:shd w:val="clear" w:color="auto" w:fill="FFFFFF"/>
        </w:rPr>
      </w:pPr>
    </w:p>
    <w:p w:rsidR="00F80CB6" w:rsidRPr="00412C35" w:rsidRDefault="00F80CB6" w:rsidP="00F80CB6">
      <w:pPr>
        <w:rPr>
          <w:rFonts w:cs="Microsoft Sans Serif"/>
          <w:shd w:val="clear" w:color="auto" w:fill="FFFFFF"/>
        </w:rPr>
      </w:pPr>
      <w:r w:rsidRPr="00412C35">
        <w:rPr>
          <w:rFonts w:cs="Microsoft Sans Serif"/>
          <w:b/>
          <w:shd w:val="clear" w:color="auto" w:fill="FFFFFF"/>
        </w:rPr>
        <w:t>Responsable de tecnología de la información</w:t>
      </w:r>
      <w:r w:rsidRPr="00412C35">
        <w:rPr>
          <w:rFonts w:cs="Microsoft Sans Serif"/>
          <w:shd w:val="clear" w:color="auto" w:fill="FFFFFF"/>
        </w:rPr>
        <w:t xml:space="preserve"> es el responsable de la gestión técnica que requiera el cumplimiento de la presente política. Es responsable por la validación final de los cambios realizados en las herramientas informáticas que no son aplicaciones del negocio, junto con los </w:t>
      </w:r>
      <w:r w:rsidRPr="00412C35">
        <w:rPr>
          <w:rFonts w:cs="Microsoft Sans Serif"/>
          <w:b/>
          <w:shd w:val="clear" w:color="auto" w:fill="FFFFFF"/>
        </w:rPr>
        <w:t>responsables técnicos</w:t>
      </w:r>
      <w:r w:rsidRPr="00412C35">
        <w:rPr>
          <w:rFonts w:cs="Microsoft Sans Serif"/>
          <w:shd w:val="clear" w:color="auto" w:fill="FFFFFF"/>
        </w:rPr>
        <w:t xml:space="preserve"> de las áreas involucradas.</w:t>
      </w:r>
    </w:p>
    <w:p w:rsidR="00F80CB6" w:rsidRPr="00412C35" w:rsidRDefault="00F80CB6" w:rsidP="00F80CB6">
      <w:pPr>
        <w:rPr>
          <w:rFonts w:cs="Microsoft Sans Serif"/>
          <w:shd w:val="clear" w:color="auto" w:fill="FFFFFF"/>
        </w:rPr>
      </w:pPr>
    </w:p>
    <w:p w:rsidR="00F80CB6" w:rsidRPr="00412C35" w:rsidRDefault="00F80CB6" w:rsidP="00F80CB6">
      <w:pPr>
        <w:rPr>
          <w:rFonts w:cs="Microsoft Sans Serif"/>
          <w:shd w:val="clear" w:color="auto" w:fill="FFFFFF"/>
        </w:rPr>
      </w:pPr>
      <w:r w:rsidRPr="00412C35">
        <w:rPr>
          <w:rFonts w:cs="Microsoft Sans Serif"/>
          <w:b/>
          <w:shd w:val="clear" w:color="auto" w:fill="FFFFFF"/>
        </w:rPr>
        <w:t>Dirección</w:t>
      </w:r>
      <w:r w:rsidRPr="00412C35">
        <w:rPr>
          <w:rFonts w:cs="Microsoft Sans Serif"/>
          <w:shd w:val="clear" w:color="auto" w:fill="FFFFFF"/>
        </w:rPr>
        <w:t xml:space="preserve"> es responsable por otorgar los recursos necesarios para el cumplimiento de la presente política.</w:t>
      </w:r>
    </w:p>
    <w:p w:rsidR="00F80CB6" w:rsidRPr="00412C35" w:rsidRDefault="00F80CB6" w:rsidP="00F80CB6">
      <w:pPr>
        <w:rPr>
          <w:rFonts w:cs="Microsoft Sans Serif"/>
          <w:shd w:val="clear" w:color="auto" w:fill="FFFFFF"/>
        </w:rPr>
      </w:pPr>
    </w:p>
    <w:p w:rsidR="00F80CB6" w:rsidRPr="00412C35" w:rsidRDefault="00F80CB6" w:rsidP="00F80CB6">
      <w:pPr>
        <w:rPr>
          <w:rFonts w:cs="Microsoft Sans Serif"/>
          <w:shd w:val="clear" w:color="auto" w:fill="FFFFFF"/>
        </w:rPr>
      </w:pPr>
      <w:r w:rsidRPr="00412C35">
        <w:rPr>
          <w:rFonts w:cs="Microsoft Sans Serif"/>
          <w:b/>
          <w:shd w:val="clear" w:color="auto" w:fill="FFFFFF"/>
        </w:rPr>
        <w:t>Gerencias</w:t>
      </w:r>
      <w:r w:rsidRPr="00412C35">
        <w:rPr>
          <w:rFonts w:cs="Microsoft Sans Serif"/>
          <w:shd w:val="clear" w:color="auto" w:fill="FFFFFF"/>
        </w:rPr>
        <w:t xml:space="preserve"> son responsables por la validación final de los cambios funcionales en las aplicaciones informáticas del negocio.</w:t>
      </w:r>
    </w:p>
    <w:p w:rsidR="00F80CB6" w:rsidRPr="00412C35" w:rsidRDefault="00F80CB6" w:rsidP="00F80CB6">
      <w:pPr>
        <w:rPr>
          <w:rFonts w:cs="Microsoft Sans Serif"/>
          <w:lang w:eastAsia="es-UY"/>
        </w:rPr>
      </w:pPr>
    </w:p>
    <w:p w:rsidR="00F80CB6" w:rsidRPr="00412C35" w:rsidRDefault="00F80CB6" w:rsidP="00F80CB6">
      <w:pPr>
        <w:rPr>
          <w:rFonts w:cs="Microsoft Sans Serif"/>
          <w:lang w:eastAsia="es-UY"/>
        </w:rPr>
      </w:pPr>
      <w:r w:rsidRPr="00412C35">
        <w:rPr>
          <w:rFonts w:cs="Microsoft Sans Serif"/>
          <w:shd w:val="clear" w:color="auto" w:fill="FFFFFF"/>
        </w:rPr>
        <w:t xml:space="preserve">El </w:t>
      </w:r>
      <w:r w:rsidRPr="00412C35">
        <w:rPr>
          <w:rFonts w:cs="Microsoft Sans Serif"/>
          <w:b/>
          <w:shd w:val="clear" w:color="auto" w:fill="FFFFFF"/>
        </w:rPr>
        <w:t xml:space="preserve">personal y proveedores </w:t>
      </w:r>
      <w:r w:rsidRPr="00412C35">
        <w:rPr>
          <w:rFonts w:cs="Microsoft Sans Serif"/>
          <w:shd w:val="clear" w:color="auto" w:fill="FFFFFF"/>
        </w:rPr>
        <w:t>deben cumplir con lo establecido en la presente política.</w:t>
      </w:r>
    </w:p>
    <w:p w:rsidR="00F80CB6" w:rsidRDefault="00F80CB6" w:rsidP="00F80CB6">
      <w:pPr>
        <w:pStyle w:val="Ttulo2"/>
        <w:numPr>
          <w:ilvl w:val="1"/>
          <w:numId w:val="0"/>
        </w:numPr>
        <w:ind w:left="576" w:hanging="576"/>
        <w:rPr>
          <w:rFonts w:cs="Microsoft Sans Serif"/>
          <w:lang w:val="es-UY" w:eastAsia="es-UY"/>
        </w:rPr>
      </w:pPr>
    </w:p>
    <w:p w:rsidR="00F80CB6" w:rsidRPr="00412C35" w:rsidRDefault="00F80CB6" w:rsidP="00F80CB6">
      <w:pPr>
        <w:pStyle w:val="Ttulo1"/>
        <w:rPr>
          <w:lang w:eastAsia="es-UY"/>
        </w:rPr>
      </w:pPr>
      <w:r w:rsidRPr="3B462B51">
        <w:rPr>
          <w:lang w:eastAsia="es-UY"/>
        </w:rPr>
        <w:t>Políticas relacionadas</w:t>
      </w:r>
    </w:p>
    <w:p w:rsidR="00F80CB6" w:rsidRDefault="00F80CB6" w:rsidP="00F80CB6">
      <w:pPr>
        <w:rPr>
          <w:rFonts w:cs="Microsoft Sans Serif"/>
          <w:lang w:eastAsia="es-UY"/>
        </w:rPr>
      </w:pPr>
    </w:p>
    <w:p w:rsidR="00F80CB6" w:rsidRPr="00412C35" w:rsidRDefault="00F80CB6" w:rsidP="00F80CB6">
      <w:pPr>
        <w:rPr>
          <w:rFonts w:cs="Microsoft Sans Serif"/>
          <w:lang w:eastAsia="es-UY"/>
        </w:rPr>
      </w:pPr>
      <w:r w:rsidRPr="1605FFCD">
        <w:rPr>
          <w:rFonts w:cs="Microsoft Sans Serif"/>
          <w:lang w:eastAsia="es-UY"/>
        </w:rPr>
        <w:t xml:space="preserve">Política de </w:t>
      </w:r>
      <w:r>
        <w:rPr>
          <w:rFonts w:cs="Microsoft Sans Serif"/>
          <w:lang w:eastAsia="es-UY"/>
        </w:rPr>
        <w:t>G</w:t>
      </w:r>
      <w:r w:rsidRPr="1605FFCD">
        <w:rPr>
          <w:rFonts w:cs="Microsoft Sans Serif"/>
          <w:lang w:eastAsia="es-UY"/>
        </w:rPr>
        <w:t>estión de cambios</w:t>
      </w:r>
    </w:p>
    <w:p w:rsidR="00F80CB6" w:rsidRDefault="00F80CB6" w:rsidP="00F80CB6">
      <w:pPr>
        <w:pStyle w:val="Ttulo2"/>
        <w:numPr>
          <w:ilvl w:val="1"/>
          <w:numId w:val="0"/>
        </w:numPr>
        <w:ind w:left="576" w:hanging="576"/>
        <w:rPr>
          <w:rFonts w:cs="Microsoft Sans Serif"/>
          <w:lang w:val="es-UY" w:eastAsia="es-UY"/>
        </w:rPr>
      </w:pPr>
    </w:p>
    <w:p w:rsidR="00F80CB6" w:rsidRDefault="00F80CB6" w:rsidP="00F80CB6">
      <w:pPr>
        <w:rPr>
          <w:lang w:val="es-UY" w:eastAsia="es-UY"/>
        </w:rPr>
      </w:pPr>
    </w:p>
    <w:p w:rsidR="00F80CB6" w:rsidRPr="00F80CB6" w:rsidRDefault="00F80CB6" w:rsidP="00F80CB6">
      <w:pPr>
        <w:rPr>
          <w:lang w:val="es-UY" w:eastAsia="es-UY"/>
        </w:rPr>
      </w:pPr>
    </w:p>
    <w:p w:rsidR="00F80CB6" w:rsidRPr="00412C35" w:rsidRDefault="00F80CB6" w:rsidP="00F80CB6">
      <w:pPr>
        <w:pStyle w:val="Ttulo1"/>
        <w:rPr>
          <w:lang w:eastAsia="es-UY"/>
        </w:rPr>
      </w:pPr>
      <w:r w:rsidRPr="3B462B51">
        <w:rPr>
          <w:lang w:eastAsia="es-UY"/>
        </w:rPr>
        <w:lastRenderedPageBreak/>
        <w:t>Descripción</w:t>
      </w:r>
    </w:p>
    <w:p w:rsidR="00F80CB6" w:rsidRDefault="00F80CB6" w:rsidP="00F80CB6">
      <w:pPr>
        <w:rPr>
          <w:rFonts w:cs="Microsoft Sans Serif"/>
        </w:rPr>
      </w:pPr>
    </w:p>
    <w:p w:rsidR="00F80CB6" w:rsidRPr="00412C35" w:rsidRDefault="00F80CB6" w:rsidP="00F80CB6">
      <w:pPr>
        <w:rPr>
          <w:rFonts w:cs="Microsoft Sans Serif"/>
        </w:rPr>
      </w:pPr>
      <w:r>
        <w:rPr>
          <w:rFonts w:cs="Microsoft Sans Serif"/>
        </w:rPr>
        <w:t xml:space="preserve">La organización </w:t>
      </w:r>
      <w:r w:rsidRPr="00412C35">
        <w:rPr>
          <w:rFonts w:cs="Microsoft Sans Serif"/>
        </w:rPr>
        <w:t>debe:</w:t>
      </w:r>
    </w:p>
    <w:p w:rsidR="00F80CB6" w:rsidRPr="00F80CB6" w:rsidRDefault="00F80CB6" w:rsidP="00F80CB6">
      <w:pPr>
        <w:pStyle w:val="Prrafodelista"/>
        <w:numPr>
          <w:ilvl w:val="0"/>
          <w:numId w:val="2"/>
        </w:numPr>
        <w:rPr>
          <w:rFonts w:asciiTheme="minorHAnsi" w:hAnsiTheme="minorHAnsi" w:cstheme="minorHAnsi"/>
          <w:sz w:val="24"/>
          <w:szCs w:val="24"/>
        </w:rPr>
      </w:pPr>
      <w:r w:rsidRPr="00F80CB6">
        <w:rPr>
          <w:rFonts w:asciiTheme="minorHAnsi" w:hAnsiTheme="minorHAnsi" w:cstheme="minorHAnsi"/>
          <w:sz w:val="24"/>
          <w:szCs w:val="24"/>
        </w:rPr>
        <w:t>Definir un procedimiento formal de pasaje a producción y uno o más responsables de los pasajes a producción. Los pasajes a producción deben ser formalmente documentados según se establezca en el procedimiento.</w:t>
      </w:r>
    </w:p>
    <w:p w:rsidR="00F80CB6" w:rsidRPr="00F80CB6" w:rsidRDefault="00F80CB6" w:rsidP="00F80CB6">
      <w:pPr>
        <w:pStyle w:val="Prrafodelista"/>
        <w:numPr>
          <w:ilvl w:val="0"/>
          <w:numId w:val="2"/>
        </w:numPr>
        <w:rPr>
          <w:rFonts w:asciiTheme="minorHAnsi" w:hAnsiTheme="minorHAnsi" w:cstheme="minorHAnsi"/>
          <w:sz w:val="24"/>
          <w:szCs w:val="24"/>
        </w:rPr>
      </w:pPr>
      <w:r w:rsidRPr="00F80CB6">
        <w:rPr>
          <w:rFonts w:asciiTheme="minorHAnsi" w:hAnsiTheme="minorHAnsi" w:cstheme="minorHAnsi"/>
          <w:sz w:val="24"/>
          <w:szCs w:val="24"/>
        </w:rPr>
        <w:t>Contar con ambientes separados para desarrollo, pruebas y producción.</w:t>
      </w:r>
    </w:p>
    <w:p w:rsidR="00F80CB6" w:rsidRPr="00F80CB6" w:rsidRDefault="00F80CB6" w:rsidP="00F80CB6">
      <w:pPr>
        <w:pStyle w:val="Prrafodelista"/>
        <w:numPr>
          <w:ilvl w:val="0"/>
          <w:numId w:val="2"/>
        </w:numPr>
        <w:rPr>
          <w:rFonts w:asciiTheme="minorHAnsi" w:hAnsiTheme="minorHAnsi" w:cstheme="minorHAnsi"/>
          <w:sz w:val="24"/>
          <w:szCs w:val="24"/>
        </w:rPr>
      </w:pPr>
      <w:r w:rsidRPr="00F80CB6">
        <w:rPr>
          <w:rFonts w:asciiTheme="minorHAnsi" w:hAnsiTheme="minorHAnsi" w:cstheme="minorHAnsi"/>
          <w:sz w:val="24"/>
          <w:szCs w:val="24"/>
        </w:rPr>
        <w:t>Definir, en el marco de la política de gestión de cambios, un procedimiento formal para la gestión de los mismos. Los pasajes a producción deben estar alineados con la política y procedimiento de gestión de cambios. Los cambios siempre deben ser probados y aceptados previamente por personal de la organización designado por las gerencias.</w:t>
      </w:r>
    </w:p>
    <w:p w:rsidR="00F80CB6" w:rsidRDefault="00F80CB6" w:rsidP="00F80CB6">
      <w:pPr>
        <w:rPr>
          <w:rFonts w:cs="Microsoft Sans Serif"/>
        </w:rPr>
      </w:pPr>
    </w:p>
    <w:p w:rsidR="00F80CB6" w:rsidRPr="00412C35" w:rsidRDefault="00F80CB6" w:rsidP="00F80CB6">
      <w:pPr>
        <w:rPr>
          <w:rFonts w:cs="Microsoft Sans Serif"/>
        </w:rPr>
      </w:pPr>
      <w:r w:rsidRPr="00412C35">
        <w:rPr>
          <w:rFonts w:cs="Microsoft Sans Serif"/>
        </w:rPr>
        <w:t xml:space="preserve">Los sistemas o herramientas provistas por terceras partes también deben existir en dichos ambientes, al menos en ambiente de pruebas y producción, para que </w:t>
      </w:r>
      <w:r>
        <w:rPr>
          <w:rFonts w:cs="Microsoft Sans Serif"/>
        </w:rPr>
        <w:t>la organización</w:t>
      </w:r>
      <w:r w:rsidRPr="00412C35">
        <w:rPr>
          <w:rFonts w:cs="Microsoft Sans Serif"/>
        </w:rPr>
        <w:t xml:space="preserve"> pueda realizar los controles pertinentes antes de cualquier instalación, actualización y aplicación de cambios.</w:t>
      </w:r>
    </w:p>
    <w:p w:rsidR="00F80CB6" w:rsidRPr="00412C35" w:rsidRDefault="00F80CB6" w:rsidP="00F80CB6">
      <w:pPr>
        <w:rPr>
          <w:rFonts w:cs="Microsoft Sans Serif"/>
        </w:rPr>
      </w:pPr>
    </w:p>
    <w:p w:rsidR="00F80CB6" w:rsidRPr="00412C35" w:rsidRDefault="00F80CB6" w:rsidP="00F80CB6">
      <w:pPr>
        <w:rPr>
          <w:rFonts w:cs="Microsoft Sans Serif"/>
        </w:rPr>
      </w:pPr>
      <w:r w:rsidRPr="00412C35">
        <w:rPr>
          <w:rFonts w:cs="Microsoft Sans Serif"/>
        </w:rPr>
        <w:t xml:space="preserve">El ambiente de pruebas debe estar adecuadamente identificado de forma tal de diferenciarlo del ambiente de producción. </w:t>
      </w:r>
    </w:p>
    <w:p w:rsidR="00F80CB6" w:rsidRPr="00412C35" w:rsidRDefault="00F80CB6" w:rsidP="00F80CB6">
      <w:pPr>
        <w:rPr>
          <w:rFonts w:cs="Microsoft Sans Serif"/>
        </w:rPr>
      </w:pPr>
    </w:p>
    <w:p w:rsidR="00F80CB6" w:rsidRPr="00412C35" w:rsidRDefault="00F80CB6" w:rsidP="00F80CB6">
      <w:pPr>
        <w:rPr>
          <w:rFonts w:cs="Microsoft Sans Serif"/>
        </w:rPr>
      </w:pPr>
      <w:r w:rsidRPr="00412C35">
        <w:rPr>
          <w:rFonts w:cs="Microsoft Sans Serif"/>
        </w:rPr>
        <w:t>El personal que realiza las pruebas debe utilizar cuentas de usuario diferentes a las que posee en producción para la realización de éstas.</w:t>
      </w:r>
    </w:p>
    <w:p w:rsidR="00F80CB6" w:rsidRPr="00412C35" w:rsidRDefault="00F80CB6" w:rsidP="00F80CB6">
      <w:pPr>
        <w:spacing w:after="200" w:line="276" w:lineRule="auto"/>
        <w:rPr>
          <w:rFonts w:cs="Microsoft Sans Serif"/>
          <w:lang w:eastAsia="es-UY"/>
        </w:rPr>
      </w:pPr>
    </w:p>
    <w:p w:rsidR="00C624B2" w:rsidRPr="00F80CB6" w:rsidRDefault="00C624B2" w:rsidP="00F80CB6">
      <w:pPr>
        <w:pStyle w:val="Ttulo1"/>
      </w:pPr>
      <w:bookmarkStart w:id="0" w:name="_GoBack"/>
      <w:r w:rsidRPr="00F80CB6">
        <w:t>Cumplimiento</w:t>
      </w:r>
    </w:p>
    <w:bookmarkEnd w:id="0"/>
    <w:p w:rsidR="00F80CB6" w:rsidRDefault="00F80CB6" w:rsidP="00C624B2">
      <w:pPr>
        <w:rPr>
          <w:rFonts w:cs="Microsoft Sans Serif"/>
        </w:rPr>
      </w:pPr>
    </w:p>
    <w:p w:rsidR="00C624B2" w:rsidRDefault="00C624B2" w:rsidP="00C624B2">
      <w:pPr>
        <w:rPr>
          <w:rFonts w:cs="Microsoft Sans Serif"/>
          <w:lang w:eastAsia="es-UY"/>
        </w:rPr>
      </w:pPr>
      <w:r w:rsidRPr="762ADBE3">
        <w:rPr>
          <w:rFonts w:cs="Microsoft Sans Serif"/>
        </w:rPr>
        <w:t>Se destaca que el incumplimiento de la presente política aumenta la exposición de la información y el riesgo de tener un incidente de seguridad de la información.</w:t>
      </w:r>
      <w:r w:rsidRPr="762ADBE3">
        <w:rPr>
          <w:rFonts w:cs="Microsoft Sans Serif"/>
          <w:lang w:eastAsia="es-UY"/>
        </w:rPr>
        <w:t xml:space="preserve"> Ante la verificación de un incumplimiento la Dirección podrá tomar las medidas que se considere pertinentes, a efectos de darle el debido cumplimiento. </w:t>
      </w:r>
    </w:p>
    <w:p w:rsidR="00C624B2" w:rsidRDefault="00C624B2" w:rsidP="00C624B2">
      <w:pPr>
        <w:rPr>
          <w:rFonts w:eastAsiaTheme="majorEastAsia" w:cstheme="majorBidi"/>
          <w:b/>
          <w:color w:val="374C92"/>
          <w:sz w:val="28"/>
          <w:szCs w:val="32"/>
          <w:lang w:eastAsia="es-UY"/>
        </w:rPr>
      </w:pPr>
    </w:p>
    <w:p w:rsidR="00C624B2" w:rsidRPr="00412C35" w:rsidRDefault="00C624B2" w:rsidP="00C624B2">
      <w:pPr>
        <w:pStyle w:val="Ttulo1"/>
        <w:rPr>
          <w:lang w:eastAsia="es-UY"/>
        </w:rPr>
      </w:pPr>
      <w:r w:rsidRPr="00412C35">
        <w:rPr>
          <w:lang w:eastAsia="es-UY"/>
        </w:rPr>
        <w:t>Historial de revisiones</w:t>
      </w:r>
    </w:p>
    <w:p w:rsidR="00C624B2" w:rsidRPr="00412C35" w:rsidRDefault="00C624B2" w:rsidP="00C624B2">
      <w:pPr>
        <w:rPr>
          <w:rFonts w:cs="Microsoft Sans Serif"/>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2"/>
        <w:gridCol w:w="4562"/>
      </w:tblGrid>
      <w:tr w:rsidR="00C624B2" w:rsidRPr="00412C35" w:rsidTr="00A16294">
        <w:trPr>
          <w:trHeight w:val="448"/>
        </w:trPr>
        <w:tc>
          <w:tcPr>
            <w:tcW w:w="2178"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Fecha de revisión</w:t>
            </w:r>
          </w:p>
        </w:tc>
        <w:tc>
          <w:tcPr>
            <w:tcW w:w="2070"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Responsable</w:t>
            </w:r>
          </w:p>
        </w:tc>
        <w:tc>
          <w:tcPr>
            <w:tcW w:w="5328"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Resumen de cambios</w:t>
            </w:r>
          </w:p>
        </w:tc>
      </w:tr>
      <w:tr w:rsidR="00C624B2" w:rsidRPr="00412C35" w:rsidTr="00A16294">
        <w:trPr>
          <w:trHeight w:val="469"/>
        </w:trPr>
        <w:tc>
          <w:tcPr>
            <w:tcW w:w="2178" w:type="dxa"/>
            <w:shd w:val="clear" w:color="auto" w:fill="auto"/>
          </w:tcPr>
          <w:p w:rsidR="00C624B2" w:rsidRPr="00412C35" w:rsidRDefault="00C624B2" w:rsidP="00A16294">
            <w:pPr>
              <w:rPr>
                <w:rFonts w:eastAsia="Times New Roman" w:cs="Microsoft Sans Serif"/>
                <w:bCs/>
                <w:color w:val="000000"/>
                <w:lang w:eastAsia="es-UY"/>
              </w:rPr>
            </w:pPr>
          </w:p>
        </w:tc>
        <w:tc>
          <w:tcPr>
            <w:tcW w:w="2070" w:type="dxa"/>
            <w:shd w:val="clear" w:color="auto" w:fill="auto"/>
          </w:tcPr>
          <w:p w:rsidR="00C624B2" w:rsidRPr="00412C35" w:rsidRDefault="00C624B2" w:rsidP="00A16294">
            <w:pPr>
              <w:rPr>
                <w:rFonts w:eastAsia="Times New Roman" w:cs="Microsoft Sans Serif"/>
                <w:bCs/>
                <w:color w:val="000000"/>
                <w:lang w:eastAsia="es-UY"/>
              </w:rPr>
            </w:pPr>
          </w:p>
        </w:tc>
        <w:tc>
          <w:tcPr>
            <w:tcW w:w="5328" w:type="dxa"/>
            <w:shd w:val="clear" w:color="auto" w:fill="auto"/>
          </w:tcPr>
          <w:p w:rsidR="00C624B2" w:rsidRPr="00412C35" w:rsidRDefault="00C624B2" w:rsidP="00A16294">
            <w:pPr>
              <w:rPr>
                <w:rFonts w:eastAsia="Times New Roman" w:cs="Microsoft Sans Serif"/>
                <w:bCs/>
                <w:color w:val="000000"/>
                <w:lang w:eastAsia="es-UY"/>
              </w:rPr>
            </w:pPr>
          </w:p>
        </w:tc>
      </w:tr>
    </w:tbl>
    <w:p w:rsidR="00C624B2" w:rsidRPr="00412C35" w:rsidRDefault="00C624B2" w:rsidP="00C624B2">
      <w:pPr>
        <w:rPr>
          <w:rFonts w:eastAsia="Times New Roman" w:cs="Microsoft Sans Serif"/>
          <w:b/>
          <w:bCs/>
          <w:lang w:eastAsia="es-UY"/>
        </w:rPr>
      </w:pPr>
    </w:p>
    <w:p w:rsidR="00C624B2" w:rsidRDefault="00C624B2" w:rsidP="00C624B2">
      <w:pPr>
        <w:rPr>
          <w:lang w:val="es-ES"/>
        </w:rPr>
      </w:pPr>
      <w:r>
        <w:rPr>
          <w:lang w:val="es-ES"/>
        </w:rPr>
        <w:br w:type="page"/>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D38B4" w:rsidRDefault="000D38B4">
      <w:pPr>
        <w:rPr>
          <w:lang w:val="es-ES"/>
        </w:rPr>
      </w:pPr>
    </w:p>
    <w:p w:rsidR="00581ADB" w:rsidRDefault="00581ADB">
      <w:pPr>
        <w:rPr>
          <w:lang w:val="es-ES"/>
        </w:rPr>
      </w:pPr>
    </w:p>
    <w:p w:rsidR="000D38B4" w:rsidRDefault="00082091" w:rsidP="00082091">
      <w:pPr>
        <w:ind w:left="-1560"/>
        <w:rPr>
          <w:lang w:val="es-ES"/>
        </w:rPr>
      </w:pPr>
      <w:r>
        <w:rPr>
          <w:noProof/>
          <w:lang w:val="es-UY" w:eastAsia="es-UY"/>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A5" w:rsidRDefault="00DC53A5" w:rsidP="000D38B4">
      <w:r>
        <w:separator/>
      </w:r>
    </w:p>
  </w:endnote>
  <w:endnote w:type="continuationSeparator" w:id="0">
    <w:p w:rsidR="00DC53A5" w:rsidRDefault="00DC53A5"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Light">
    <w:altName w:val="Courier New"/>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A5" w:rsidRDefault="00DC53A5" w:rsidP="000D38B4">
      <w:r>
        <w:separator/>
      </w:r>
    </w:p>
  </w:footnote>
  <w:footnote w:type="continuationSeparator" w:id="0">
    <w:p w:rsidR="00DC53A5" w:rsidRDefault="00DC53A5" w:rsidP="000D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40D97"/>
    <w:multiLevelType w:val="hybridMultilevel"/>
    <w:tmpl w:val="16086F2A"/>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4DCD7D12"/>
    <w:multiLevelType w:val="hybridMultilevel"/>
    <w:tmpl w:val="BA30566A"/>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A5"/>
    <w:rsid w:val="00082091"/>
    <w:rsid w:val="000D38B4"/>
    <w:rsid w:val="0011079F"/>
    <w:rsid w:val="00365975"/>
    <w:rsid w:val="003B1C56"/>
    <w:rsid w:val="00581ADB"/>
    <w:rsid w:val="005F5AD5"/>
    <w:rsid w:val="0063230A"/>
    <w:rsid w:val="00862773"/>
    <w:rsid w:val="00AE1594"/>
    <w:rsid w:val="00B52E01"/>
    <w:rsid w:val="00C15334"/>
    <w:rsid w:val="00C624B2"/>
    <w:rsid w:val="00C92891"/>
    <w:rsid w:val="00DC53A5"/>
    <w:rsid w:val="00F80CB6"/>
    <w:rsid w:val="762ADB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C21ECA94-DB22-411A-AFF5-469F5CC6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paragraph" w:styleId="Ttulo2">
    <w:name w:val="heading 2"/>
    <w:basedOn w:val="Normal"/>
    <w:next w:val="Normal"/>
    <w:link w:val="Ttulo2Car"/>
    <w:uiPriority w:val="9"/>
    <w:semiHidden/>
    <w:unhideWhenUsed/>
    <w:qFormat/>
    <w:rsid w:val="00F80C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 w:type="character" w:customStyle="1" w:styleId="Ttulo2Car">
    <w:name w:val="Título 2 Car"/>
    <w:basedOn w:val="Fuentedeprrafopredeter"/>
    <w:link w:val="Ttulo2"/>
    <w:uiPriority w:val="9"/>
    <w:semiHidden/>
    <w:rsid w:val="00F80CB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F80CB6"/>
    <w:pPr>
      <w:spacing w:after="160" w:line="256" w:lineRule="auto"/>
      <w:ind w:left="720"/>
      <w:contextualSpacing/>
    </w:pPr>
    <w:rPr>
      <w:rFonts w:ascii="Microsoft Sans Serif" w:eastAsia="Calibri" w:hAnsi="Microsoft Sans Serif" w:cs="Times New Roman"/>
      <w:sz w:val="22"/>
      <w:szCs w:val="2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141.51\Privados\Seguridad%20de%20la%20Informaci&#243;n\Gesti&#243;n%20y%20auditoria\Procesos\Formateado\template%20Politica%20MCU.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8654D32F41C0C4BBBB136A0AB5ED2EB" ma:contentTypeVersion="15" ma:contentTypeDescription="Crear nuevo documento." ma:contentTypeScope="" ma:versionID="9b6ed3f861c22a70d5aa872d410f4035">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51cbc3c621b14bdb2f51cbd954a13a3d"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6B52A-76DC-4447-9FBE-BA2C156FEB1B}">
  <ds:schemaRefs>
    <ds:schemaRef ds:uri="http://schemas.microsoft.com/sharepoint/v3/contenttype/forms"/>
  </ds:schemaRefs>
</ds:datastoreItem>
</file>

<file path=customXml/itemProps2.xml><?xml version="1.0" encoding="utf-8"?>
<ds:datastoreItem xmlns:ds="http://schemas.openxmlformats.org/officeDocument/2006/customXml" ds:itemID="{60409DAD-D400-496F-908C-4AAA8575D86E}">
  <ds:schemaRefs>
    <ds:schemaRef ds:uri="http://schemas.microsoft.com/office/2006/metadata/properties"/>
    <ds:schemaRef ds:uri="http://schemas.microsoft.com/office/infopath/2007/PartnerControls"/>
    <ds:schemaRef ds:uri="b1f0de35-1437-4539-8539-632ee4ed0d3b"/>
    <ds:schemaRef ds:uri="1d36ff73-39f8-44c4-a830-f302c958ceff"/>
  </ds:schemaRefs>
</ds:datastoreItem>
</file>

<file path=customXml/itemProps3.xml><?xml version="1.0" encoding="utf-8"?>
<ds:datastoreItem xmlns:ds="http://schemas.openxmlformats.org/officeDocument/2006/customXml" ds:itemID="{D5370CFC-128D-4AE6-BF0B-3AFD87998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de35-1437-4539-8539-632ee4ed0d3b"/>
    <ds:schemaRef ds:uri="1d36ff73-39f8-44c4-a830-f302c958c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Politica MCU.dotx</Template>
  <TotalTime>4</TotalTime>
  <Pages>5</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Ferreira</dc:creator>
  <cp:keywords/>
  <dc:description/>
  <cp:lastModifiedBy>Silvina Ferreira</cp:lastModifiedBy>
  <cp:revision>2</cp:revision>
  <dcterms:created xsi:type="dcterms:W3CDTF">2022-07-14T16:14:00Z</dcterms:created>
  <dcterms:modified xsi:type="dcterms:W3CDTF">2022-07-14T16:19:00Z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y fmtid="{D5CDD505-2E9C-101B-9397-08002B2CF9AE}" pid="3" name="MediaServiceImageTags">
    <vt:lpwstr/>
  </property>
</Properties>
</file>