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A8" w:rsidRPr="005E7974" w:rsidRDefault="00EF0AA8" w:rsidP="00EF0AA8">
      <w:pPr>
        <w:pStyle w:val="Ttulo1"/>
        <w:spacing w:before="0" w:line="360" w:lineRule="auto"/>
        <w:jc w:val="center"/>
        <w:rPr>
          <w:rFonts w:ascii="Arial" w:hAnsi="Arial" w:cs="Arial"/>
        </w:rPr>
      </w:pPr>
      <w:r w:rsidRPr="005E7974">
        <w:rPr>
          <w:rFonts w:ascii="Arial" w:hAnsi="Arial" w:cs="Arial"/>
        </w:rPr>
        <w:t>CLÁUSULAS TIPO</w:t>
      </w:r>
    </w:p>
    <w:p w:rsidR="00EF0AA8" w:rsidRPr="001C12DE" w:rsidRDefault="00EF0AA8" w:rsidP="00EF0AA8">
      <w:pPr>
        <w:pStyle w:val="Ttulo1"/>
        <w:spacing w:before="0" w:line="360" w:lineRule="auto"/>
        <w:jc w:val="center"/>
        <w:rPr>
          <w:rFonts w:ascii="Arial" w:hAnsi="Arial" w:cs="Arial"/>
        </w:rPr>
      </w:pPr>
      <w:r w:rsidRPr="001C12DE">
        <w:rPr>
          <w:rFonts w:ascii="Arial" w:hAnsi="Arial" w:cs="Arial"/>
        </w:rPr>
        <w:t xml:space="preserve">En cumplimiento </w:t>
      </w:r>
      <w:r>
        <w:rPr>
          <w:rFonts w:ascii="Arial" w:hAnsi="Arial" w:cs="Arial"/>
        </w:rPr>
        <w:t xml:space="preserve">de </w:t>
      </w:r>
      <w:r w:rsidRPr="001C12DE">
        <w:rPr>
          <w:rFonts w:ascii="Arial" w:hAnsi="Arial" w:cs="Arial"/>
        </w:rPr>
        <w:t>NORMA TÉCNICA Nº 01/2019</w:t>
      </w:r>
      <w:r>
        <w:rPr>
          <w:rFonts w:ascii="Arial" w:hAnsi="Arial" w:cs="Arial"/>
        </w:rPr>
        <w:t xml:space="preserve"> de A</w:t>
      </w:r>
      <w:r w:rsidR="009E2A7C">
        <w:rPr>
          <w:rFonts w:ascii="Arial" w:hAnsi="Arial" w:cs="Arial"/>
        </w:rPr>
        <w:t>R</w:t>
      </w:r>
      <w:r>
        <w:rPr>
          <w:rFonts w:ascii="Arial" w:hAnsi="Arial" w:cs="Arial"/>
        </w:rPr>
        <w:t>CE</w:t>
      </w:r>
    </w:p>
    <w:p w:rsidR="00EF0AA8" w:rsidRPr="001C12DE" w:rsidRDefault="00EF0AA8" w:rsidP="00EF0AA8">
      <w:pPr>
        <w:pStyle w:val="Ttulo1"/>
        <w:spacing w:before="0" w:line="360" w:lineRule="auto"/>
        <w:jc w:val="center"/>
        <w:rPr>
          <w:rFonts w:ascii="Arial" w:hAnsi="Arial" w:cs="Arial"/>
        </w:rPr>
      </w:pPr>
      <w:r w:rsidRPr="001C12DE">
        <w:rPr>
          <w:rFonts w:ascii="Arial" w:hAnsi="Arial" w:cs="Arial"/>
        </w:rPr>
        <w:t>“Plazos de entrega de bienes en la contratación pública”</w:t>
      </w:r>
    </w:p>
    <w:p w:rsidR="00EF0AA8" w:rsidRPr="003A2924" w:rsidRDefault="00EF0AA8" w:rsidP="00EF0AA8">
      <w:pPr>
        <w:spacing w:after="200"/>
        <w:contextualSpacing/>
        <w:rPr>
          <w:sz w:val="22"/>
          <w:szCs w:val="22"/>
        </w:rPr>
      </w:pPr>
      <w:r w:rsidRPr="005E7974">
        <w:rPr>
          <w:rFonts w:cs="Arial"/>
        </w:rPr>
        <w:br/>
      </w:r>
      <w:r w:rsidRPr="003A2924">
        <w:rPr>
          <w:sz w:val="22"/>
          <w:szCs w:val="22"/>
        </w:rPr>
        <w:t>En el presente documento se identifican cláusulas tipo a incorporar en Pliegos de Condiciones Particulares que tengan por objeto la compra de bienes que forman parte del flujo de adquisición corriente del organismo contratante y sean a</w:t>
      </w:r>
      <w:r>
        <w:rPr>
          <w:sz w:val="22"/>
          <w:szCs w:val="22"/>
        </w:rPr>
        <w:t>dquiridos en grandes cantidades,</w:t>
      </w:r>
      <w:r w:rsidRPr="003A2924">
        <w:rPr>
          <w:sz w:val="22"/>
          <w:szCs w:val="22"/>
        </w:rPr>
        <w:t xml:space="preserve"> </w:t>
      </w:r>
      <w:r w:rsidRPr="009831B9">
        <w:rPr>
          <w:sz w:val="22"/>
          <w:szCs w:val="22"/>
          <w:lang w:val="es-ES"/>
        </w:rPr>
        <w:t>en términos relativos al tamaño del mercado del producto</w:t>
      </w:r>
      <w:r>
        <w:rPr>
          <w:sz w:val="22"/>
          <w:szCs w:val="22"/>
          <w:lang w:val="es-ES"/>
        </w:rPr>
        <w:t>.</w:t>
      </w:r>
    </w:p>
    <w:p w:rsidR="00EF0AA8" w:rsidRDefault="00EF0AA8" w:rsidP="00EF0AA8">
      <w:pPr>
        <w:pStyle w:val="Prrafodelista"/>
        <w:spacing w:line="360" w:lineRule="auto"/>
        <w:ind w:left="0"/>
        <w:rPr>
          <w:rFonts w:ascii="Arial" w:eastAsia="Arial Unicode MS" w:hAnsi="Arial"/>
          <w:kern w:val="1"/>
        </w:rPr>
      </w:pPr>
      <w:r w:rsidRPr="003A2924">
        <w:rPr>
          <w:rFonts w:ascii="Arial" w:eastAsia="Arial Unicode MS" w:hAnsi="Arial"/>
          <w:kern w:val="1"/>
        </w:rPr>
        <w:t xml:space="preserve">Se disponen a continuación las cláusulas </w:t>
      </w:r>
      <w:r>
        <w:rPr>
          <w:rFonts w:ascii="Arial" w:eastAsia="Arial Unicode MS" w:hAnsi="Arial"/>
          <w:kern w:val="1"/>
        </w:rPr>
        <w:t>que</w:t>
      </w:r>
      <w:r w:rsidRPr="003A2924">
        <w:rPr>
          <w:rFonts w:ascii="Arial" w:eastAsia="Arial Unicode MS" w:hAnsi="Arial"/>
          <w:kern w:val="1"/>
        </w:rPr>
        <w:t xml:space="preserve"> deberían ser incorporadas en los pliegos, </w:t>
      </w:r>
      <w:r>
        <w:rPr>
          <w:rFonts w:ascii="Arial" w:eastAsia="Arial Unicode MS" w:hAnsi="Arial"/>
          <w:kern w:val="1"/>
        </w:rPr>
        <w:t>dentro del</w:t>
      </w:r>
      <w:r w:rsidRPr="003A2924">
        <w:rPr>
          <w:rFonts w:ascii="Arial" w:eastAsia="Arial Unicode MS" w:hAnsi="Arial"/>
          <w:kern w:val="1"/>
        </w:rPr>
        <w:t xml:space="preserve"> capítulo señalado </w:t>
      </w:r>
      <w:r>
        <w:rPr>
          <w:rFonts w:ascii="Arial" w:eastAsia="Arial Unicode MS" w:hAnsi="Arial"/>
          <w:kern w:val="1"/>
        </w:rPr>
        <w:t>en cada caso (Evaluación de las ofertas, Plazos y condiciones de entrega). Cada capítulo contendrá, además, las disposiciones necesarias de acuerdo al procedimiento que se trate. Acá solamente facilitamos aquellas cláusulas que deberán agregarse a las bases de contratación y que refieren específicamente al cumplimiento de la Norma Técnica N°01/2019 de A</w:t>
      </w:r>
      <w:r w:rsidR="009E2A7C">
        <w:rPr>
          <w:rFonts w:ascii="Arial" w:eastAsia="Arial Unicode MS" w:hAnsi="Arial"/>
          <w:kern w:val="1"/>
        </w:rPr>
        <w:t>R</w:t>
      </w:r>
      <w:r>
        <w:rPr>
          <w:rFonts w:ascii="Arial" w:eastAsia="Arial Unicode MS" w:hAnsi="Arial"/>
          <w:kern w:val="1"/>
        </w:rPr>
        <w:t xml:space="preserve">CE.  </w:t>
      </w:r>
    </w:p>
    <w:p w:rsidR="00EF0AA8" w:rsidRDefault="00EF0AA8" w:rsidP="00EF0AA8">
      <w:pPr>
        <w:pStyle w:val="Prrafodelista"/>
        <w:spacing w:line="360" w:lineRule="auto"/>
        <w:ind w:left="0"/>
        <w:rPr>
          <w:rFonts w:ascii="Arial" w:eastAsia="Arial Unicode MS" w:hAnsi="Arial"/>
          <w:kern w:val="1"/>
        </w:rPr>
      </w:pPr>
      <w:r>
        <w:rPr>
          <w:rFonts w:ascii="Arial" w:eastAsia="Arial Unicode MS" w:hAnsi="Arial"/>
          <w:b/>
          <w:kern w:val="1"/>
        </w:rPr>
        <w:t>Observaciones</w:t>
      </w:r>
      <w:r w:rsidRPr="00E63FC0">
        <w:rPr>
          <w:rFonts w:ascii="Arial" w:eastAsia="Arial Unicode MS" w:hAnsi="Arial"/>
          <w:b/>
          <w:kern w:val="1"/>
        </w:rPr>
        <w:t>:</w:t>
      </w:r>
      <w:r>
        <w:rPr>
          <w:rFonts w:ascii="Arial" w:eastAsia="Arial Unicode MS" w:hAnsi="Arial"/>
          <w:kern w:val="1"/>
        </w:rPr>
        <w:t xml:space="preserve"> </w:t>
      </w:r>
    </w:p>
    <w:p w:rsidR="00EF0AA8" w:rsidRDefault="00EF0AA8" w:rsidP="00EF0AA8">
      <w:pPr>
        <w:pStyle w:val="Prrafodelista"/>
        <w:numPr>
          <w:ilvl w:val="0"/>
          <w:numId w:val="4"/>
        </w:numPr>
        <w:spacing w:line="360" w:lineRule="auto"/>
        <w:rPr>
          <w:rFonts w:ascii="Arial" w:eastAsia="Arial Unicode MS" w:hAnsi="Arial"/>
          <w:b/>
          <w:kern w:val="1"/>
        </w:rPr>
      </w:pPr>
      <w:r w:rsidRPr="00E63FC0">
        <w:rPr>
          <w:rFonts w:ascii="Arial" w:eastAsia="Arial Unicode MS" w:hAnsi="Arial"/>
          <w:b/>
          <w:kern w:val="1"/>
        </w:rPr>
        <w:t xml:space="preserve">El texto que figura en rojo no es parte de la cláusula, sino </w:t>
      </w:r>
      <w:r>
        <w:rPr>
          <w:rFonts w:ascii="Arial" w:eastAsia="Arial Unicode MS" w:hAnsi="Arial"/>
          <w:b/>
          <w:kern w:val="1"/>
        </w:rPr>
        <w:t xml:space="preserve">que es aclaratorio y </w:t>
      </w:r>
      <w:r w:rsidRPr="00E63FC0">
        <w:rPr>
          <w:rFonts w:ascii="Arial" w:eastAsia="Arial Unicode MS" w:hAnsi="Arial"/>
          <w:b/>
          <w:kern w:val="1"/>
        </w:rPr>
        <w:t>deberá ser considerado por cada organismo al momento de la elaboración del pliego.</w:t>
      </w:r>
    </w:p>
    <w:p w:rsidR="00EF0AA8" w:rsidRPr="00E63FC0" w:rsidRDefault="00EF0AA8" w:rsidP="00EF0AA8">
      <w:pPr>
        <w:pStyle w:val="Prrafodelista"/>
        <w:numPr>
          <w:ilvl w:val="0"/>
          <w:numId w:val="4"/>
        </w:numPr>
        <w:spacing w:line="360" w:lineRule="auto"/>
        <w:rPr>
          <w:rFonts w:ascii="Arial" w:eastAsia="Arial Unicode MS" w:hAnsi="Arial"/>
          <w:b/>
          <w:kern w:val="1"/>
        </w:rPr>
      </w:pPr>
      <w:r>
        <w:rPr>
          <w:rFonts w:ascii="Arial" w:eastAsia="Arial Unicode MS" w:hAnsi="Arial"/>
          <w:b/>
          <w:kern w:val="1"/>
        </w:rPr>
        <w:t>Lo que se resalta en amarillo deberá ser completado por el organismo en función del pliego particular.</w:t>
      </w:r>
    </w:p>
    <w:p w:rsidR="00EF0AA8" w:rsidRDefault="00EF0AA8" w:rsidP="00EF0AA8">
      <w:pPr>
        <w:rPr>
          <w:sz w:val="22"/>
          <w:szCs w:val="22"/>
        </w:rPr>
      </w:pPr>
    </w:p>
    <w:p w:rsidR="00EF0AA8" w:rsidRPr="00563330" w:rsidRDefault="00EF0AA8" w:rsidP="00EF0AA8">
      <w:pPr>
        <w:rPr>
          <w:sz w:val="22"/>
          <w:szCs w:val="22"/>
        </w:rPr>
      </w:pPr>
    </w:p>
    <w:p w:rsidR="00EF0AA8" w:rsidRDefault="00EF0AA8" w:rsidP="00EF0AA8">
      <w:pPr>
        <w:pStyle w:val="Prrafodelista"/>
        <w:numPr>
          <w:ilvl w:val="1"/>
          <w:numId w:val="3"/>
        </w:numPr>
        <w:spacing w:after="0" w:line="360" w:lineRule="auto"/>
        <w:ind w:left="0" w:firstLine="0"/>
        <w:rPr>
          <w:rFonts w:ascii="Arial" w:hAnsi="Arial" w:cs="Arial"/>
          <w:b/>
          <w:color w:val="4472C4"/>
        </w:rPr>
      </w:pPr>
      <w:r w:rsidRPr="005E7974">
        <w:rPr>
          <w:rFonts w:ascii="Arial" w:hAnsi="Arial" w:cs="Arial"/>
          <w:b/>
          <w:color w:val="4472C4"/>
        </w:rPr>
        <w:t>Evaluación de las ofertas</w:t>
      </w:r>
    </w:p>
    <w:p w:rsidR="00EF0AA8" w:rsidRDefault="00EF0AA8" w:rsidP="00EF0AA8">
      <w:pPr>
        <w:pStyle w:val="Prrafodelista"/>
        <w:spacing w:after="0" w:line="360" w:lineRule="auto"/>
        <w:ind w:left="0"/>
        <w:rPr>
          <w:rFonts w:ascii="Arial" w:hAnsi="Arial" w:cs="Arial"/>
          <w:b/>
          <w:color w:val="4472C4"/>
        </w:rPr>
      </w:pPr>
    </w:p>
    <w:p w:rsidR="00EF0AA8" w:rsidRPr="00C36792" w:rsidRDefault="00EF0AA8" w:rsidP="00EF0AA8">
      <w:pPr>
        <w:pStyle w:val="Prrafodelista"/>
        <w:spacing w:after="0" w:line="360" w:lineRule="auto"/>
        <w:ind w:left="0"/>
        <w:rPr>
          <w:rFonts w:ascii="Arial" w:hAnsi="Arial" w:cs="Arial"/>
        </w:rPr>
      </w:pPr>
      <w:r w:rsidRPr="00C36792">
        <w:rPr>
          <w:rFonts w:ascii="Arial" w:hAnsi="Arial" w:cs="Arial"/>
        </w:rPr>
        <w:t>….</w:t>
      </w:r>
    </w:p>
    <w:p w:rsidR="00EF0AA8" w:rsidRDefault="00EF0AA8" w:rsidP="00EF0AA8">
      <w:pPr>
        <w:spacing w:after="200"/>
        <w:rPr>
          <w:i/>
          <w:sz w:val="22"/>
          <w:szCs w:val="22"/>
        </w:rPr>
      </w:pPr>
      <w:r w:rsidRPr="00C36792">
        <w:rPr>
          <w:i/>
          <w:sz w:val="22"/>
          <w:szCs w:val="22"/>
        </w:rPr>
        <w:t>“</w:t>
      </w:r>
      <w:r>
        <w:rPr>
          <w:i/>
          <w:sz w:val="22"/>
          <w:szCs w:val="22"/>
        </w:rPr>
        <w:t xml:space="preserve">Los plazos de entrega de los bienes serán los que figuren en el capítulo relativo a Plazos y condiciones de entrega del presente pliego. </w:t>
      </w:r>
      <w:r w:rsidRPr="00C36792">
        <w:rPr>
          <w:i/>
          <w:sz w:val="22"/>
          <w:szCs w:val="22"/>
        </w:rPr>
        <w:t xml:space="preserve">No se considerarán en la valoración de las ofertas, como factor de ponderación, plazos inferiores para la entrega de los bienes </w:t>
      </w:r>
      <w:r>
        <w:rPr>
          <w:i/>
          <w:sz w:val="22"/>
          <w:szCs w:val="22"/>
        </w:rPr>
        <w:t>de</w:t>
      </w:r>
      <w:r w:rsidRPr="00C36792">
        <w:rPr>
          <w:i/>
          <w:sz w:val="22"/>
          <w:szCs w:val="22"/>
        </w:rPr>
        <w:t xml:space="preserve"> aquellos requeridos </w:t>
      </w:r>
      <w:r>
        <w:rPr>
          <w:i/>
          <w:sz w:val="22"/>
          <w:szCs w:val="22"/>
        </w:rPr>
        <w:t>por</w:t>
      </w:r>
      <w:r w:rsidRPr="00C36792">
        <w:rPr>
          <w:i/>
          <w:sz w:val="22"/>
          <w:szCs w:val="22"/>
        </w:rPr>
        <w:t xml:space="preserve"> el presente Pliego</w:t>
      </w:r>
      <w:r>
        <w:rPr>
          <w:i/>
          <w:sz w:val="22"/>
          <w:szCs w:val="22"/>
        </w:rPr>
        <w:t>”</w:t>
      </w:r>
    </w:p>
    <w:p w:rsidR="00EF0AA8" w:rsidRDefault="00EF0AA8" w:rsidP="00EF0AA8">
      <w:pPr>
        <w:spacing w:after="200"/>
        <w:rPr>
          <w:i/>
          <w:sz w:val="22"/>
          <w:szCs w:val="22"/>
        </w:rPr>
      </w:pPr>
      <w:r>
        <w:rPr>
          <w:i/>
          <w:sz w:val="22"/>
          <w:szCs w:val="22"/>
        </w:rPr>
        <w:t>…</w:t>
      </w:r>
    </w:p>
    <w:p w:rsidR="009E2A7C" w:rsidRDefault="009E2A7C" w:rsidP="00EF0AA8">
      <w:pPr>
        <w:spacing w:after="200"/>
        <w:rPr>
          <w:i/>
          <w:sz w:val="22"/>
          <w:szCs w:val="22"/>
        </w:rPr>
      </w:pPr>
    </w:p>
    <w:p w:rsidR="009E2A7C" w:rsidRDefault="009E2A7C" w:rsidP="00EF0AA8">
      <w:pPr>
        <w:spacing w:after="200"/>
        <w:rPr>
          <w:sz w:val="22"/>
          <w:szCs w:val="22"/>
        </w:rPr>
      </w:pPr>
    </w:p>
    <w:p w:rsidR="00EF0AA8" w:rsidRPr="003B062E" w:rsidRDefault="00EF0AA8" w:rsidP="00EF0AA8">
      <w:pPr>
        <w:pStyle w:val="Prrafodelista"/>
        <w:numPr>
          <w:ilvl w:val="1"/>
          <w:numId w:val="3"/>
        </w:numPr>
        <w:spacing w:after="0" w:line="360" w:lineRule="auto"/>
        <w:ind w:left="0" w:firstLine="0"/>
        <w:rPr>
          <w:rFonts w:ascii="Arial" w:hAnsi="Arial" w:cs="Arial"/>
          <w:b/>
          <w:color w:val="4472C4"/>
        </w:rPr>
      </w:pPr>
      <w:r w:rsidRPr="003B062E">
        <w:rPr>
          <w:rFonts w:ascii="Arial" w:hAnsi="Arial" w:cs="Arial"/>
          <w:b/>
          <w:color w:val="4472C4"/>
        </w:rPr>
        <w:lastRenderedPageBreak/>
        <w:t>Plazos y condiciones de entrega</w:t>
      </w:r>
    </w:p>
    <w:p w:rsidR="00EF0AA8" w:rsidRDefault="00EF0AA8" w:rsidP="00EF0AA8">
      <w:pPr>
        <w:pStyle w:val="Prrafodelista"/>
        <w:spacing w:after="0" w:line="360" w:lineRule="auto"/>
        <w:ind w:left="0"/>
        <w:rPr>
          <w:rFonts w:ascii="Arial" w:hAnsi="Arial" w:cs="Arial"/>
        </w:rPr>
      </w:pPr>
    </w:p>
    <w:p w:rsidR="00EF0AA8" w:rsidRPr="00215770" w:rsidRDefault="00EF0AA8" w:rsidP="00EF0AA8">
      <w:pPr>
        <w:pStyle w:val="Prrafodelista"/>
        <w:spacing w:after="0" w:line="360" w:lineRule="auto"/>
        <w:ind w:left="0"/>
        <w:rPr>
          <w:rFonts w:ascii="Arial" w:hAnsi="Arial" w:cs="Arial"/>
          <w:i/>
        </w:rPr>
      </w:pPr>
      <w:r w:rsidRPr="00215770">
        <w:rPr>
          <w:rFonts w:ascii="Arial" w:hAnsi="Arial" w:cs="Arial"/>
          <w:i/>
        </w:rPr>
        <w:t xml:space="preserve">“El adjudicatario deberá entregar los productos solicitados </w:t>
      </w:r>
      <w:proofErr w:type="gramStart"/>
      <w:r w:rsidRPr="00215770">
        <w:rPr>
          <w:rFonts w:ascii="Arial" w:hAnsi="Arial" w:cs="Arial"/>
          <w:i/>
        </w:rPr>
        <w:t>en …</w:t>
      </w:r>
      <w:proofErr w:type="gramEnd"/>
      <w:r w:rsidRPr="00215770">
        <w:rPr>
          <w:rFonts w:ascii="Arial" w:hAnsi="Arial" w:cs="Arial"/>
          <w:i/>
        </w:rPr>
        <w:t xml:space="preserve"> </w:t>
      </w:r>
      <w:r w:rsidRPr="004F1C4A">
        <w:rPr>
          <w:rFonts w:ascii="Arial" w:hAnsi="Arial" w:cs="Arial"/>
          <w:i/>
          <w:color w:val="FF0000"/>
          <w:highlight w:val="yellow"/>
        </w:rPr>
        <w:t>(lugar que se indique en el Pliego),</w:t>
      </w:r>
      <w:r w:rsidRPr="00215770">
        <w:rPr>
          <w:rFonts w:ascii="Arial" w:hAnsi="Arial" w:cs="Arial"/>
          <w:i/>
        </w:rPr>
        <w:t xml:space="preserve"> previa coordinación y en un plazo máximo, contado a partir del día siguiente a la notificación de la orden de compra según lo especificado a continuación: </w:t>
      </w:r>
    </w:p>
    <w:p w:rsidR="00EF0AA8" w:rsidRPr="00215770" w:rsidRDefault="00EF0AA8" w:rsidP="00EF0AA8">
      <w:pPr>
        <w:pStyle w:val="Prrafodelista"/>
        <w:spacing w:after="0" w:line="360" w:lineRule="auto"/>
        <w:ind w:left="0" w:firstLine="709"/>
        <w:rPr>
          <w:rFonts w:ascii="Arial" w:hAnsi="Arial" w:cs="Arial"/>
          <w:i/>
        </w:rPr>
      </w:pPr>
      <w:r w:rsidRPr="00215770">
        <w:rPr>
          <w:rFonts w:ascii="Arial" w:hAnsi="Arial" w:cs="Arial"/>
          <w:i/>
        </w:rPr>
        <w:t>a) Órdenes entre</w:t>
      </w:r>
      <w:r w:rsidRPr="00215770">
        <w:rPr>
          <w:rFonts w:ascii="Arial" w:eastAsia="Arial Unicode MS" w:hAnsi="Arial"/>
          <w:i/>
          <w:kern w:val="1"/>
          <w:highlight w:val="yellow"/>
        </w:rPr>
        <w:t>…</w:t>
      </w:r>
      <w:r w:rsidRPr="004F1C4A">
        <w:rPr>
          <w:rFonts w:ascii="Arial" w:eastAsia="Arial Unicode MS" w:hAnsi="Arial"/>
          <w:i/>
          <w:kern w:val="1"/>
        </w:rPr>
        <w:t xml:space="preserve"> y</w:t>
      </w:r>
      <w:r w:rsidRPr="00215770">
        <w:rPr>
          <w:rFonts w:ascii="Arial" w:eastAsia="Arial Unicode MS" w:hAnsi="Arial"/>
          <w:i/>
          <w:kern w:val="1"/>
          <w:highlight w:val="yellow"/>
        </w:rPr>
        <w:t>…</w:t>
      </w:r>
      <w:r w:rsidRPr="00215770">
        <w:rPr>
          <w:rFonts w:ascii="Arial" w:hAnsi="Arial" w:cs="Arial"/>
          <w:i/>
        </w:rPr>
        <w:t xml:space="preserve"> unidades por ítem: </w:t>
      </w:r>
      <w:r w:rsidRPr="00215770">
        <w:rPr>
          <w:rFonts w:ascii="Arial" w:eastAsia="Arial Unicode MS" w:hAnsi="Arial"/>
          <w:i/>
          <w:kern w:val="1"/>
          <w:highlight w:val="yellow"/>
        </w:rPr>
        <w:t xml:space="preserve">… </w:t>
      </w:r>
      <w:r w:rsidRPr="004F1C4A">
        <w:rPr>
          <w:rFonts w:ascii="Arial" w:eastAsia="Arial Unicode MS" w:hAnsi="Arial"/>
          <w:i/>
          <w:color w:val="FF0000"/>
          <w:kern w:val="1"/>
          <w:highlight w:val="yellow"/>
        </w:rPr>
        <w:t>(Número en letras)</w:t>
      </w:r>
      <w:r w:rsidRPr="00215770">
        <w:rPr>
          <w:rFonts w:ascii="Arial" w:hAnsi="Arial" w:cs="Arial"/>
          <w:i/>
        </w:rPr>
        <w:t xml:space="preserve"> días hábiles. </w:t>
      </w:r>
    </w:p>
    <w:p w:rsidR="00EF0AA8" w:rsidRPr="00215770" w:rsidRDefault="00EF0AA8" w:rsidP="00EF0AA8">
      <w:pPr>
        <w:pStyle w:val="Prrafodelista"/>
        <w:spacing w:after="0" w:line="360" w:lineRule="auto"/>
        <w:ind w:left="0" w:firstLine="709"/>
        <w:rPr>
          <w:rFonts w:ascii="Arial" w:hAnsi="Arial" w:cs="Arial"/>
          <w:i/>
        </w:rPr>
      </w:pPr>
      <w:r w:rsidRPr="00215770">
        <w:rPr>
          <w:rFonts w:ascii="Arial" w:hAnsi="Arial" w:cs="Arial"/>
          <w:i/>
        </w:rPr>
        <w:t>b) Órdenes entre</w:t>
      </w:r>
      <w:r w:rsidRPr="00215770">
        <w:rPr>
          <w:rFonts w:ascii="Arial" w:eastAsia="Arial Unicode MS" w:hAnsi="Arial"/>
          <w:i/>
          <w:kern w:val="1"/>
          <w:highlight w:val="yellow"/>
        </w:rPr>
        <w:t>…</w:t>
      </w:r>
      <w:r w:rsidRPr="004F1C4A">
        <w:rPr>
          <w:rFonts w:ascii="Arial" w:eastAsia="Arial Unicode MS" w:hAnsi="Arial"/>
          <w:i/>
          <w:kern w:val="1"/>
        </w:rPr>
        <w:t xml:space="preserve"> y</w:t>
      </w:r>
      <w:r w:rsidRPr="00215770">
        <w:rPr>
          <w:rFonts w:ascii="Arial" w:eastAsia="Arial Unicode MS" w:hAnsi="Arial"/>
          <w:i/>
          <w:kern w:val="1"/>
          <w:highlight w:val="yellow"/>
        </w:rPr>
        <w:t>…</w:t>
      </w:r>
      <w:r w:rsidRPr="00215770">
        <w:rPr>
          <w:rFonts w:ascii="Arial" w:hAnsi="Arial" w:cs="Arial"/>
          <w:i/>
        </w:rPr>
        <w:t xml:space="preserve"> unidades por ítem: </w:t>
      </w:r>
      <w:r w:rsidRPr="00215770">
        <w:rPr>
          <w:rFonts w:ascii="Arial" w:eastAsia="Arial Unicode MS" w:hAnsi="Arial"/>
          <w:i/>
          <w:kern w:val="1"/>
          <w:highlight w:val="yellow"/>
        </w:rPr>
        <w:t xml:space="preserve">… </w:t>
      </w:r>
      <w:r w:rsidRPr="004F1C4A">
        <w:rPr>
          <w:rFonts w:ascii="Arial" w:eastAsia="Arial Unicode MS" w:hAnsi="Arial"/>
          <w:i/>
          <w:color w:val="FF0000"/>
          <w:kern w:val="1"/>
          <w:highlight w:val="yellow"/>
        </w:rPr>
        <w:t>(Número en letras)</w:t>
      </w:r>
      <w:r w:rsidRPr="004F1C4A">
        <w:rPr>
          <w:rFonts w:ascii="Arial" w:hAnsi="Arial" w:cs="Arial"/>
          <w:i/>
          <w:color w:val="FF0000"/>
        </w:rPr>
        <w:t xml:space="preserve"> </w:t>
      </w:r>
      <w:r w:rsidRPr="00215770">
        <w:rPr>
          <w:rFonts w:ascii="Arial" w:hAnsi="Arial" w:cs="Arial"/>
          <w:i/>
        </w:rPr>
        <w:t xml:space="preserve">días hábiles. </w:t>
      </w:r>
    </w:p>
    <w:p w:rsidR="00EF0AA8" w:rsidRPr="00215770" w:rsidRDefault="00EF0AA8" w:rsidP="00EF0AA8">
      <w:pPr>
        <w:pStyle w:val="Prrafodelista"/>
        <w:spacing w:after="0" w:line="360" w:lineRule="auto"/>
        <w:ind w:left="0" w:firstLine="709"/>
        <w:rPr>
          <w:rFonts w:ascii="Arial" w:hAnsi="Arial" w:cs="Arial"/>
          <w:i/>
        </w:rPr>
      </w:pPr>
      <w:r w:rsidRPr="00215770">
        <w:rPr>
          <w:rFonts w:ascii="Arial" w:hAnsi="Arial" w:cs="Arial"/>
          <w:i/>
        </w:rPr>
        <w:t xml:space="preserve">c) Órdenes con más </w:t>
      </w:r>
      <w:proofErr w:type="gramStart"/>
      <w:r w:rsidRPr="00215770">
        <w:rPr>
          <w:rFonts w:ascii="Arial" w:hAnsi="Arial" w:cs="Arial"/>
          <w:i/>
        </w:rPr>
        <w:t>de</w:t>
      </w:r>
      <w:r>
        <w:rPr>
          <w:rFonts w:ascii="Arial" w:hAnsi="Arial" w:cs="Arial"/>
          <w:i/>
        </w:rPr>
        <w:t xml:space="preserve"> </w:t>
      </w:r>
      <w:r w:rsidRPr="00215770">
        <w:rPr>
          <w:rFonts w:ascii="Arial" w:eastAsia="Arial Unicode MS" w:hAnsi="Arial"/>
          <w:i/>
          <w:kern w:val="1"/>
          <w:highlight w:val="yellow"/>
        </w:rPr>
        <w:t>…</w:t>
      </w:r>
      <w:proofErr w:type="gramEnd"/>
      <w:r w:rsidRPr="00215770">
        <w:rPr>
          <w:rFonts w:ascii="Arial" w:eastAsia="Arial Unicode MS" w:hAnsi="Arial"/>
          <w:i/>
          <w:kern w:val="1"/>
          <w:highlight w:val="yellow"/>
        </w:rPr>
        <w:t xml:space="preserve"> </w:t>
      </w:r>
      <w:r w:rsidRPr="00215770">
        <w:rPr>
          <w:rFonts w:ascii="Arial" w:hAnsi="Arial" w:cs="Arial"/>
          <w:i/>
        </w:rPr>
        <w:t xml:space="preserve">unidades por ítem: </w:t>
      </w:r>
      <w:r w:rsidRPr="00215770">
        <w:rPr>
          <w:rFonts w:ascii="Arial" w:eastAsia="Arial Unicode MS" w:hAnsi="Arial"/>
          <w:i/>
          <w:kern w:val="1"/>
          <w:highlight w:val="yellow"/>
        </w:rPr>
        <w:t xml:space="preserve">… </w:t>
      </w:r>
      <w:r w:rsidRPr="004F1C4A">
        <w:rPr>
          <w:rFonts w:ascii="Arial" w:eastAsia="Arial Unicode MS" w:hAnsi="Arial"/>
          <w:i/>
          <w:color w:val="FF0000"/>
          <w:kern w:val="1"/>
          <w:highlight w:val="yellow"/>
        </w:rPr>
        <w:t>(Número en letras</w:t>
      </w:r>
      <w:r w:rsidRPr="00215770">
        <w:rPr>
          <w:rFonts w:ascii="Arial" w:eastAsia="Arial Unicode MS" w:hAnsi="Arial"/>
          <w:i/>
          <w:kern w:val="1"/>
          <w:highlight w:val="yellow"/>
        </w:rPr>
        <w:t>)</w:t>
      </w:r>
      <w:r w:rsidRPr="00215770">
        <w:rPr>
          <w:rFonts w:ascii="Arial" w:hAnsi="Arial" w:cs="Arial"/>
          <w:i/>
        </w:rPr>
        <w:t xml:space="preserve"> días hábiles.” </w:t>
      </w:r>
    </w:p>
    <w:p w:rsidR="00EF0AA8" w:rsidRPr="00215770" w:rsidRDefault="00EF0AA8" w:rsidP="00EF0AA8">
      <w:pPr>
        <w:pStyle w:val="Prrafodelista"/>
        <w:spacing w:after="0" w:line="360" w:lineRule="auto"/>
        <w:ind w:left="0" w:firstLine="709"/>
        <w:rPr>
          <w:rFonts w:ascii="Arial" w:hAnsi="Arial" w:cs="Arial"/>
          <w:i/>
        </w:rPr>
      </w:pPr>
      <w:r w:rsidRPr="00215770">
        <w:rPr>
          <w:rFonts w:ascii="Arial" w:hAnsi="Arial" w:cs="Arial"/>
          <w:i/>
        </w:rPr>
        <w:t>…</w:t>
      </w:r>
    </w:p>
    <w:p w:rsidR="00EF0AA8" w:rsidRDefault="00EF0AA8" w:rsidP="00EF0AA8">
      <w:pPr>
        <w:spacing w:after="200"/>
        <w:rPr>
          <w:sz w:val="22"/>
          <w:szCs w:val="22"/>
          <w:lang w:val="es-ES"/>
        </w:rPr>
      </w:pPr>
      <w:r>
        <w:rPr>
          <w:color w:val="FF0000"/>
          <w:sz w:val="22"/>
          <w:szCs w:val="22"/>
        </w:rPr>
        <w:t xml:space="preserve"> (</w:t>
      </w:r>
      <w:r w:rsidRPr="00B32324">
        <w:rPr>
          <w:color w:val="FF0000"/>
          <w:sz w:val="22"/>
          <w:szCs w:val="22"/>
        </w:rPr>
        <w:t xml:space="preserve">El organismo comprador deberá estipular plazos de entrega que </w:t>
      </w:r>
      <w:r>
        <w:rPr>
          <w:color w:val="FF0000"/>
          <w:sz w:val="22"/>
          <w:szCs w:val="22"/>
        </w:rPr>
        <w:t>resulten</w:t>
      </w:r>
      <w:r w:rsidRPr="00B32324">
        <w:rPr>
          <w:color w:val="FF0000"/>
          <w:sz w:val="22"/>
          <w:szCs w:val="22"/>
        </w:rPr>
        <w:t xml:space="preserve"> acordes a las cantidades demandadas y la escala de producción del mercado nacional</w:t>
      </w:r>
      <w:r>
        <w:rPr>
          <w:color w:val="FF0000"/>
          <w:sz w:val="22"/>
          <w:szCs w:val="22"/>
        </w:rPr>
        <w:t xml:space="preserve">, de acuerdo al objeto de cada contratación. La cantidad de rangos identificados en los literales anteriores podrá variar en función de las cantidades totales previstas por el procedimiento. </w:t>
      </w:r>
      <w:r w:rsidRPr="00B32324">
        <w:rPr>
          <w:color w:val="FF0000"/>
          <w:sz w:val="22"/>
          <w:szCs w:val="22"/>
        </w:rPr>
        <w:t>Si las cantidades a adquirir así lo requieren, deberá preverse la posibilidad de realización de entregas parciales que permitan suplir las necesidades de la Administración al tiempo que los proveedores puedan realizar un abastecimiento eficiente</w:t>
      </w:r>
      <w:r>
        <w:rPr>
          <w:color w:val="FF0000"/>
          <w:sz w:val="22"/>
          <w:szCs w:val="22"/>
        </w:rPr>
        <w:t>).</w:t>
      </w:r>
      <w:r w:rsidRPr="005E7974" w:rsidDel="00DC4E8A">
        <w:rPr>
          <w:rFonts w:cs="Arial"/>
        </w:rPr>
        <w:t xml:space="preserve"> </w:t>
      </w:r>
      <w:bookmarkStart w:id="0" w:name="_GoBack"/>
      <w:bookmarkEnd w:id="0"/>
    </w:p>
    <w:sectPr w:rsidR="00EF0AA8" w:rsidSect="006B4EF8">
      <w:headerReference w:type="default" r:id="rId8"/>
      <w:footerReference w:type="default" r:id="rId9"/>
      <w:pgSz w:w="11906" w:h="16838"/>
      <w:pgMar w:top="1134" w:right="1134" w:bottom="1134"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A8" w:rsidRDefault="00EF0AA8" w:rsidP="005D5C1C">
      <w:r>
        <w:separator/>
      </w:r>
    </w:p>
  </w:endnote>
  <w:endnote w:type="continuationSeparator" w:id="0">
    <w:p w:rsidR="00EF0AA8" w:rsidRDefault="00EF0AA8" w:rsidP="005D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F0C" w:rsidRPr="002F4425" w:rsidRDefault="009330C7" w:rsidP="002F4425">
    <w:pPr>
      <w:pStyle w:val="Piedepgina"/>
      <w:jc w:val="center"/>
      <w:rPr>
        <w:sz w:val="18"/>
        <w:szCs w:val="18"/>
      </w:rPr>
    </w:pPr>
    <w:r w:rsidRPr="002F4425">
      <w:rPr>
        <w:noProof/>
        <w:sz w:val="20"/>
        <w:szCs w:val="20"/>
        <w:lang w:val="es-ES" w:eastAsia="es-ES"/>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111125</wp:posOffset>
              </wp:positionV>
              <wp:extent cx="6296025" cy="0"/>
              <wp:effectExtent l="0" t="0" r="2857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12700">
                        <a:solidFill>
                          <a:srgbClr val="003D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FF47BD" id="_x0000_t32" coordsize="21600,21600" o:spt="32" o:oned="t" path="m,l21600,21600e" filled="f">
              <v:path arrowok="t" fillok="f" o:connecttype="none"/>
              <o:lock v:ext="edit" shapetype="t"/>
            </v:shapetype>
            <v:shape id="AutoShape 1" o:spid="_x0000_s1026" type="#_x0000_t32" style="position:absolute;margin-left:1.05pt;margin-top:8.7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" strokecolor="#003da6" strokeweight="1pt">
              <v:shadow color="#1f4d78" opacity=".5" offset="1pt"/>
            </v:shape>
          </w:pict>
        </mc:Fallback>
      </mc:AlternateContent>
    </w:r>
    <w:r w:rsidR="002F4425">
      <w:br/>
    </w:r>
    <w:r w:rsidR="002F4425">
      <w:rPr>
        <w:sz w:val="20"/>
        <w:szCs w:val="20"/>
      </w:rPr>
      <w:t xml:space="preserve">     </w:t>
    </w:r>
    <w:r w:rsidR="002F4425" w:rsidRPr="002F4425">
      <w:rPr>
        <w:sz w:val="18"/>
        <w:szCs w:val="18"/>
      </w:rPr>
      <w:t>Andes 1365 piso 8 –</w:t>
    </w:r>
    <w:r w:rsidR="002F4425">
      <w:rPr>
        <w:sz w:val="18"/>
        <w:szCs w:val="18"/>
      </w:rPr>
      <w:t xml:space="preserve"> CP:</w:t>
    </w:r>
    <w:r w:rsidR="002F4425" w:rsidRPr="002F4425">
      <w:rPr>
        <w:sz w:val="18"/>
        <w:szCs w:val="18"/>
      </w:rPr>
      <w:t xml:space="preserve"> 11</w:t>
    </w:r>
    <w:r w:rsidR="002F4425">
      <w:rPr>
        <w:sz w:val="18"/>
        <w:szCs w:val="18"/>
      </w:rPr>
      <w:t>1</w:t>
    </w:r>
    <w:r w:rsidR="002F4425" w:rsidRPr="002F4425">
      <w:rPr>
        <w:sz w:val="18"/>
        <w:szCs w:val="18"/>
      </w:rPr>
      <w:t xml:space="preserve">00 – Montevideo – Uruguay – </w:t>
    </w:r>
    <w:hyperlink r:id="rId1" w:history="1">
      <w:r w:rsidR="00621FD1" w:rsidRPr="00F96D2E">
        <w:rPr>
          <w:rStyle w:val="Hipervnculo"/>
          <w:sz w:val="18"/>
          <w:szCs w:val="18"/>
          <w:lang w:val="es-UY"/>
        </w:rPr>
        <w:t>arce</w:t>
      </w:r>
      <w:r w:rsidR="00621FD1" w:rsidRPr="00F96D2E">
        <w:rPr>
          <w:rStyle w:val="Hipervnculo"/>
          <w:sz w:val="18"/>
          <w:szCs w:val="18"/>
        </w:rPr>
        <w:t>@arce.gub.uy</w:t>
      </w:r>
    </w:hyperlink>
    <w:r w:rsidR="002F4425" w:rsidRPr="002F4425">
      <w:rPr>
        <w:sz w:val="18"/>
        <w:szCs w:val="18"/>
      </w:rPr>
      <w:t xml:space="preserve"> – Tel (</w:t>
    </w:r>
    <w:r w:rsidR="002F4425">
      <w:rPr>
        <w:sz w:val="18"/>
        <w:szCs w:val="18"/>
      </w:rPr>
      <w:t>+</w:t>
    </w:r>
    <w:r w:rsidR="002F4425" w:rsidRPr="002F4425">
      <w:rPr>
        <w:sz w:val="18"/>
        <w:szCs w:val="18"/>
      </w:rPr>
      <w:t>598) 2903 11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A8" w:rsidRDefault="00EF0AA8" w:rsidP="005D5C1C">
      <w:r>
        <w:separator/>
      </w:r>
    </w:p>
  </w:footnote>
  <w:footnote w:type="continuationSeparator" w:id="0">
    <w:p w:rsidR="00EF0AA8" w:rsidRDefault="00EF0AA8" w:rsidP="005D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22" w:rsidRDefault="00D14BA5" w:rsidP="006B4EF8">
    <w:pPr>
      <w:ind w:left="-284"/>
      <w:rPr>
        <w:b/>
        <w:noProof/>
      </w:rPr>
    </w:pPr>
    <w:r>
      <w:rPr>
        <w:b/>
        <w:noProof/>
      </w:rPr>
      <w:t xml:space="preserve">     </w:t>
    </w:r>
    <w:r w:rsidR="001C4247" w:rsidRPr="0026536A">
      <w:rPr>
        <w:noProof/>
        <w:lang w:val="es-ES" w:eastAsia="es-ES"/>
      </w:rPr>
      <w:drawing>
        <wp:inline distT="0" distB="0" distL="0" distR="0" wp14:anchorId="343F875E" wp14:editId="0438E26A">
          <wp:extent cx="3789054" cy="703606"/>
          <wp:effectExtent l="0" t="0" r="1905" b="1270"/>
          <wp:docPr id="6" name="Imagen 6" descr="Z:\_Comunicacion\NFerreri\Nati\Comunicación\Identidad corporativa\Identidad 2020\ARCE 2020\Logo ARCE\logo_convivencia_Presidencia_A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Comunicacion\NFerreri\Nati\Comunicación\Identidad corporativa\Identidad 2020\ARCE 2020\Logo ARCE\logo_convivencia_Presidencia_Ar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194" cy="724987"/>
                  </a:xfrm>
                  <a:prstGeom prst="rect">
                    <a:avLst/>
                  </a:prstGeom>
                  <a:noFill/>
                  <a:ln>
                    <a:noFill/>
                  </a:ln>
                </pic:spPr>
              </pic:pic>
            </a:graphicData>
          </a:graphic>
        </wp:inline>
      </w:drawing>
    </w:r>
    <w:r w:rsidR="005D5C1C">
      <w:rPr>
        <w:b/>
        <w:noProof/>
      </w:rPr>
      <w:t xml:space="preserve"> </w:t>
    </w:r>
    <w:r w:rsidR="004E0C0A">
      <w:rPr>
        <w:b/>
        <w:noProof/>
      </w:rPr>
      <w:t xml:space="preserve">     </w:t>
    </w:r>
  </w:p>
  <w:p w:rsidR="001C4247" w:rsidRDefault="00D14BA5" w:rsidP="006B4EF8">
    <w:pPr>
      <w:ind w:left="-284"/>
      <w:rPr>
        <w:b/>
        <w:noProof/>
      </w:rPr>
    </w:pPr>
    <w:r>
      <w:rPr>
        <w:b/>
        <w:noProof/>
      </w:rPr>
      <w:t xml:space="preserve">   </w:t>
    </w:r>
  </w:p>
  <w:p w:rsidR="005D5C1C" w:rsidRPr="006B4EF8" w:rsidRDefault="004E0C0A" w:rsidP="006B4EF8">
    <w:pPr>
      <w:ind w:left="-284"/>
      <w:rPr>
        <w:b/>
        <w:noProof/>
      </w:rPr>
    </w:pPr>
    <w:r>
      <w:rPr>
        <w:b/>
        <w:noProof/>
      </w:rPr>
      <w:t xml:space="preserve">                 </w:t>
    </w:r>
    <w:r w:rsidR="005D5C1C">
      <w:rPr>
        <w:b/>
        <w:noProof/>
      </w:rPr>
      <w:t xml:space="preserve">  </w:t>
    </w:r>
    <w:r>
      <w:rPr>
        <w:b/>
        <w:noProof/>
      </w:rPr>
      <w:t xml:space="preserve">     </w:t>
    </w:r>
    <w:r w:rsidR="005D5C1C">
      <w:rPr>
        <w:b/>
        <w:noProof/>
      </w:rPr>
      <w:t xml:space="preserve"> </w:t>
    </w:r>
    <w:r>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0328"/>
    <w:multiLevelType w:val="hybridMultilevel"/>
    <w:tmpl w:val="A634B9F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48B517BA"/>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A00895"/>
    <w:multiLevelType w:val="hybridMultilevel"/>
    <w:tmpl w:val="E7DEDCC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C9E0395"/>
    <w:multiLevelType w:val="hybridMultilevel"/>
    <w:tmpl w:val="26C842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8"/>
    <w:rsid w:val="000421E1"/>
    <w:rsid w:val="00062F01"/>
    <w:rsid w:val="000833BA"/>
    <w:rsid w:val="00093A95"/>
    <w:rsid w:val="00107303"/>
    <w:rsid w:val="00155E27"/>
    <w:rsid w:val="001C4247"/>
    <w:rsid w:val="001F1888"/>
    <w:rsid w:val="0027253D"/>
    <w:rsid w:val="002F4425"/>
    <w:rsid w:val="004E0C0A"/>
    <w:rsid w:val="004E5CFE"/>
    <w:rsid w:val="0051111A"/>
    <w:rsid w:val="00592F6B"/>
    <w:rsid w:val="005D5C1C"/>
    <w:rsid w:val="005E7A45"/>
    <w:rsid w:val="0061066F"/>
    <w:rsid w:val="00621FD1"/>
    <w:rsid w:val="00632A88"/>
    <w:rsid w:val="006B4EF8"/>
    <w:rsid w:val="006E3442"/>
    <w:rsid w:val="00761AB3"/>
    <w:rsid w:val="007B5205"/>
    <w:rsid w:val="00834217"/>
    <w:rsid w:val="008550A4"/>
    <w:rsid w:val="008E49C3"/>
    <w:rsid w:val="00901B63"/>
    <w:rsid w:val="009330C7"/>
    <w:rsid w:val="00937222"/>
    <w:rsid w:val="00965B13"/>
    <w:rsid w:val="0098339D"/>
    <w:rsid w:val="009E2A7C"/>
    <w:rsid w:val="00A15303"/>
    <w:rsid w:val="00A316CA"/>
    <w:rsid w:val="00A537C1"/>
    <w:rsid w:val="00A548EF"/>
    <w:rsid w:val="00AE3E25"/>
    <w:rsid w:val="00B30850"/>
    <w:rsid w:val="00B37F83"/>
    <w:rsid w:val="00BA0D89"/>
    <w:rsid w:val="00BE4F0C"/>
    <w:rsid w:val="00C55936"/>
    <w:rsid w:val="00CC004C"/>
    <w:rsid w:val="00CF3051"/>
    <w:rsid w:val="00D14BA5"/>
    <w:rsid w:val="00D237C5"/>
    <w:rsid w:val="00D83829"/>
    <w:rsid w:val="00E912F7"/>
    <w:rsid w:val="00EF0AA8"/>
    <w:rsid w:val="00F90983"/>
    <w:rsid w:val="00F9283B"/>
    <w:rsid w:val="00F9594F"/>
    <w:rsid w:val="00FD095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42197F0C-1F31-47FB-96AA-6115C6C2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AA8"/>
    <w:pPr>
      <w:widowControl w:val="0"/>
      <w:suppressAutoHyphens/>
      <w:spacing w:line="360" w:lineRule="auto"/>
      <w:jc w:val="both"/>
    </w:pPr>
    <w:rPr>
      <w:rFonts w:ascii="Arial" w:eastAsia="Arial Unicode MS" w:hAnsi="Arial"/>
      <w:kern w:val="1"/>
      <w:sz w:val="24"/>
      <w:szCs w:val="24"/>
    </w:rPr>
  </w:style>
  <w:style w:type="paragraph" w:styleId="Ttulo1">
    <w:name w:val="heading 1"/>
    <w:basedOn w:val="Normal"/>
    <w:next w:val="Normal"/>
    <w:link w:val="Ttulo1Car"/>
    <w:uiPriority w:val="9"/>
    <w:qFormat/>
    <w:rsid w:val="00CF3051"/>
    <w:pPr>
      <w:keepNext/>
      <w:keepLines/>
      <w:widowControl/>
      <w:suppressAutoHyphens w:val="0"/>
      <w:spacing w:before="480" w:line="276" w:lineRule="auto"/>
      <w:outlineLvl w:val="0"/>
    </w:pPr>
    <w:rPr>
      <w:rFonts w:ascii="Cambria" w:eastAsia="Times New Roman" w:hAnsi="Cambria"/>
      <w:b/>
      <w:bCs/>
      <w:color w:val="365F91"/>
      <w:kern w:val="0"/>
      <w:sz w:val="28"/>
      <w:szCs w:val="28"/>
      <w:lang w:eastAsia="en-US"/>
    </w:rPr>
  </w:style>
  <w:style w:type="paragraph" w:styleId="Ttulo2">
    <w:name w:val="heading 2"/>
    <w:basedOn w:val="Normal"/>
    <w:next w:val="Normal"/>
    <w:link w:val="Ttulo2Car"/>
    <w:uiPriority w:val="9"/>
    <w:unhideWhenUsed/>
    <w:qFormat/>
    <w:rsid w:val="00CF3051"/>
    <w:pPr>
      <w:keepNext/>
      <w:keepLines/>
      <w:widowControl/>
      <w:suppressAutoHyphens w:val="0"/>
      <w:spacing w:before="200" w:line="276" w:lineRule="auto"/>
      <w:outlineLvl w:val="1"/>
    </w:pPr>
    <w:rPr>
      <w:rFonts w:ascii="Cambria" w:eastAsia="Times New Roman" w:hAnsi="Cambria"/>
      <w:b/>
      <w:bCs/>
      <w:color w:val="4F81BD"/>
      <w:kern w:val="0"/>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link w:val="EncabezadoCar"/>
    <w:uiPriority w:val="99"/>
    <w:pPr>
      <w:keepNext/>
      <w:spacing w:before="240" w:after="120"/>
    </w:pPr>
    <w:rPr>
      <w:rFonts w:eastAsia="MS Mincho"/>
      <w:sz w:val="28"/>
      <w:szCs w:val="28"/>
      <w:lang w:val="x-none"/>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Textodeglobo">
    <w:name w:val="Balloon Text"/>
    <w:basedOn w:val="Normal"/>
    <w:link w:val="TextodegloboCar"/>
    <w:uiPriority w:val="99"/>
    <w:semiHidden/>
    <w:unhideWhenUsed/>
    <w:rsid w:val="008550A4"/>
    <w:rPr>
      <w:rFonts w:ascii="Tahoma" w:hAnsi="Tahoma"/>
      <w:sz w:val="16"/>
      <w:szCs w:val="16"/>
      <w:lang w:val="x-none"/>
    </w:rPr>
  </w:style>
  <w:style w:type="character" w:customStyle="1" w:styleId="TextodegloboCar">
    <w:name w:val="Texto de globo Car"/>
    <w:link w:val="Textodeglobo"/>
    <w:uiPriority w:val="99"/>
    <w:semiHidden/>
    <w:rsid w:val="008550A4"/>
    <w:rPr>
      <w:rFonts w:ascii="Tahoma" w:eastAsia="Arial Unicode MS" w:hAnsi="Tahoma" w:cs="Tahoma"/>
      <w:kern w:val="1"/>
      <w:sz w:val="16"/>
      <w:szCs w:val="16"/>
    </w:rPr>
  </w:style>
  <w:style w:type="paragraph" w:styleId="Piedepgina">
    <w:name w:val="footer"/>
    <w:basedOn w:val="Normal"/>
    <w:link w:val="PiedepginaCar"/>
    <w:uiPriority w:val="99"/>
    <w:unhideWhenUsed/>
    <w:rsid w:val="005D5C1C"/>
    <w:pPr>
      <w:tabs>
        <w:tab w:val="center" w:pos="4252"/>
        <w:tab w:val="right" w:pos="8504"/>
      </w:tabs>
    </w:pPr>
    <w:rPr>
      <w:lang w:val="x-none"/>
    </w:rPr>
  </w:style>
  <w:style w:type="character" w:customStyle="1" w:styleId="PiedepginaCar">
    <w:name w:val="Pie de página Car"/>
    <w:link w:val="Piedepgina"/>
    <w:uiPriority w:val="99"/>
    <w:rsid w:val="005D5C1C"/>
    <w:rPr>
      <w:rFonts w:ascii="Arial" w:eastAsia="Arial Unicode MS" w:hAnsi="Arial"/>
      <w:kern w:val="1"/>
      <w:sz w:val="24"/>
      <w:szCs w:val="24"/>
    </w:rPr>
  </w:style>
  <w:style w:type="character" w:customStyle="1" w:styleId="EncabezadoCar">
    <w:name w:val="Encabezado Car"/>
    <w:link w:val="Encabezado"/>
    <w:uiPriority w:val="99"/>
    <w:rsid w:val="005D5C1C"/>
    <w:rPr>
      <w:rFonts w:ascii="Arial" w:eastAsia="MS Mincho" w:hAnsi="Arial" w:cs="Tahoma"/>
      <w:kern w:val="1"/>
      <w:sz w:val="28"/>
      <w:szCs w:val="28"/>
    </w:rPr>
  </w:style>
  <w:style w:type="character" w:styleId="Hipervnculo">
    <w:name w:val="Hyperlink"/>
    <w:uiPriority w:val="99"/>
    <w:unhideWhenUsed/>
    <w:rsid w:val="002F4425"/>
    <w:rPr>
      <w:color w:val="0563C1"/>
      <w:u w:val="single"/>
    </w:rPr>
  </w:style>
  <w:style w:type="character" w:customStyle="1" w:styleId="Ttulo1Car">
    <w:name w:val="Título 1 Car"/>
    <w:link w:val="Ttulo1"/>
    <w:uiPriority w:val="9"/>
    <w:rsid w:val="00CF3051"/>
    <w:rPr>
      <w:rFonts w:ascii="Cambria" w:eastAsia="Times New Roman" w:hAnsi="Cambria" w:cs="Times New Roman"/>
      <w:b/>
      <w:bCs/>
      <w:color w:val="365F91"/>
      <w:sz w:val="28"/>
      <w:szCs w:val="28"/>
      <w:lang w:eastAsia="en-US"/>
    </w:rPr>
  </w:style>
  <w:style w:type="character" w:customStyle="1" w:styleId="Ttulo2Car">
    <w:name w:val="Título 2 Car"/>
    <w:link w:val="Ttulo2"/>
    <w:uiPriority w:val="9"/>
    <w:rsid w:val="00CF3051"/>
    <w:rPr>
      <w:rFonts w:ascii="Cambria" w:eastAsia="Times New Roman" w:hAnsi="Cambria" w:cs="Times New Roman"/>
      <w:b/>
      <w:bCs/>
      <w:color w:val="4F81BD"/>
      <w:sz w:val="26"/>
      <w:szCs w:val="26"/>
      <w:lang w:eastAsia="en-US"/>
    </w:rPr>
  </w:style>
  <w:style w:type="paragraph" w:styleId="Prrafodelista">
    <w:name w:val="List Paragraph"/>
    <w:basedOn w:val="Normal"/>
    <w:uiPriority w:val="34"/>
    <w:qFormat/>
    <w:rsid w:val="00CF3051"/>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ce@arce.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archivos\acce\_ACCE\Identidad%20Visual%20ARCE\Hoja%20membretada%20actu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1D47-E7E6-4D3D-AF62-2DB1DEBA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actual</Template>
  <TotalTime>2</TotalTime>
  <Pages>2</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Links>
    <vt:vector size="6" baseType="variant">
      <vt:variant>
        <vt:i4>5636155</vt:i4>
      </vt:variant>
      <vt:variant>
        <vt:i4>0</vt:i4>
      </vt:variant>
      <vt:variant>
        <vt:i4>0</vt:i4>
      </vt:variant>
      <vt:variant>
        <vt:i4>5</vt:i4>
      </vt:variant>
      <vt:variant>
        <vt:lpwstr>mailto:acce@acce.gub.uy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Regulación</dc:creator>
  <cp:keywords/>
  <cp:lastModifiedBy>Regulación</cp:lastModifiedBy>
  <cp:revision>2</cp:revision>
  <cp:lastPrinted>2020-08-18T19:04:00Z</cp:lastPrinted>
  <dcterms:created xsi:type="dcterms:W3CDTF">2020-11-23T17:00:00Z</dcterms:created>
  <dcterms:modified xsi:type="dcterms:W3CDTF">2020-11-23T18:22:00Z</dcterms:modified>
</cp:coreProperties>
</file>