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FFA" w:rsidRPr="00EB63D4" w:rsidRDefault="00BD6236" w:rsidP="00FB19A4">
      <w:pPr>
        <w:jc w:val="center"/>
        <w:rPr>
          <w:rFonts w:cstheme="minorHAnsi"/>
          <w:b/>
          <w:sz w:val="24"/>
          <w:szCs w:val="24"/>
        </w:rPr>
      </w:pPr>
      <w:r w:rsidRPr="00EB63D4">
        <w:rPr>
          <w:rFonts w:cstheme="minorHAnsi"/>
          <w:b/>
          <w:sz w:val="24"/>
          <w:szCs w:val="24"/>
        </w:rPr>
        <w:t>GRUPO DE TRABAJO: EMPRESAS TRANSNACIONALES Y DERECHOS HUMANOS</w:t>
      </w:r>
    </w:p>
    <w:p w:rsidR="00BD6236" w:rsidRPr="00EB63D4" w:rsidRDefault="00BD6236" w:rsidP="00BD6236">
      <w:pPr>
        <w:jc w:val="center"/>
        <w:rPr>
          <w:rFonts w:cstheme="minorHAnsi"/>
          <w:b/>
          <w:sz w:val="24"/>
          <w:szCs w:val="24"/>
          <w:u w:val="single"/>
        </w:rPr>
      </w:pPr>
      <w:r w:rsidRPr="00EB63D4">
        <w:rPr>
          <w:rFonts w:cstheme="minorHAnsi"/>
          <w:b/>
          <w:sz w:val="24"/>
          <w:szCs w:val="24"/>
          <w:u w:val="single"/>
        </w:rPr>
        <w:t>INFORME DE AVANCE</w:t>
      </w:r>
    </w:p>
    <w:p w:rsidR="00BD6236" w:rsidRPr="00EB63D4" w:rsidRDefault="00BD6236" w:rsidP="00040C60">
      <w:pPr>
        <w:pStyle w:val="Prrafodelista"/>
        <w:numPr>
          <w:ilvl w:val="0"/>
          <w:numId w:val="5"/>
        </w:numPr>
        <w:rPr>
          <w:rFonts w:cstheme="minorHAnsi"/>
          <w:b/>
          <w:sz w:val="24"/>
          <w:szCs w:val="24"/>
          <w:u w:val="single"/>
        </w:rPr>
      </w:pPr>
      <w:r w:rsidRPr="00EB63D4">
        <w:rPr>
          <w:rFonts w:cstheme="minorHAnsi"/>
          <w:b/>
          <w:sz w:val="24"/>
          <w:szCs w:val="24"/>
          <w:u w:val="single"/>
        </w:rPr>
        <w:t>Participantes:</w:t>
      </w:r>
    </w:p>
    <w:p w:rsidR="005C0F0D" w:rsidRPr="00EB63D4" w:rsidRDefault="0005403D" w:rsidP="005C0F0D">
      <w:pPr>
        <w:rPr>
          <w:rFonts w:cstheme="minorHAnsi"/>
          <w:b/>
          <w:bCs/>
          <w:sz w:val="24"/>
          <w:szCs w:val="24"/>
          <w:lang w:val="es-UY"/>
        </w:rPr>
      </w:pPr>
      <w:r w:rsidRPr="00EB63D4">
        <w:rPr>
          <w:rFonts w:cstheme="minorHAnsi"/>
          <w:b/>
          <w:bCs/>
          <w:sz w:val="24"/>
          <w:szCs w:val="24"/>
          <w:lang w:val="es-UY"/>
        </w:rPr>
        <w:t>INDDHH:</w:t>
      </w:r>
    </w:p>
    <w:p w:rsidR="0005403D" w:rsidRPr="00EB63D4" w:rsidRDefault="0005403D" w:rsidP="005C0F0D">
      <w:pPr>
        <w:pStyle w:val="Prrafodelista"/>
        <w:numPr>
          <w:ilvl w:val="0"/>
          <w:numId w:val="8"/>
        </w:numPr>
        <w:rPr>
          <w:rFonts w:cstheme="minorHAnsi"/>
          <w:bCs/>
          <w:sz w:val="24"/>
          <w:szCs w:val="24"/>
          <w:lang w:val="es-UY"/>
        </w:rPr>
      </w:pPr>
      <w:r w:rsidRPr="00EB63D4">
        <w:rPr>
          <w:rFonts w:cstheme="minorHAnsi"/>
          <w:bCs/>
          <w:sz w:val="24"/>
          <w:szCs w:val="24"/>
          <w:lang w:val="es-UY"/>
        </w:rPr>
        <w:t xml:space="preserve">Juan </w:t>
      </w:r>
      <w:proofErr w:type="spellStart"/>
      <w:r w:rsidRPr="00EB63D4">
        <w:rPr>
          <w:rFonts w:cstheme="minorHAnsi"/>
          <w:bCs/>
          <w:sz w:val="24"/>
          <w:szCs w:val="24"/>
          <w:lang w:val="es-UY"/>
        </w:rPr>
        <w:t>Faroppa</w:t>
      </w:r>
      <w:proofErr w:type="spellEnd"/>
      <w:r w:rsidRPr="00EB63D4">
        <w:rPr>
          <w:rFonts w:cstheme="minorHAnsi"/>
          <w:bCs/>
          <w:sz w:val="24"/>
          <w:szCs w:val="24"/>
          <w:lang w:val="es-UY"/>
        </w:rPr>
        <w:t xml:space="preserve"> (Presidente)</w:t>
      </w:r>
    </w:p>
    <w:p w:rsidR="005C0F0D" w:rsidRPr="00EB63D4" w:rsidRDefault="005C0F0D" w:rsidP="005C0F0D">
      <w:pPr>
        <w:pStyle w:val="Prrafodelista"/>
        <w:numPr>
          <w:ilvl w:val="0"/>
          <w:numId w:val="8"/>
        </w:numPr>
        <w:rPr>
          <w:rFonts w:cstheme="minorHAnsi"/>
          <w:bCs/>
          <w:sz w:val="24"/>
          <w:szCs w:val="24"/>
          <w:lang w:val="es-UY"/>
        </w:rPr>
      </w:pPr>
      <w:r w:rsidRPr="00EB63D4">
        <w:rPr>
          <w:rFonts w:cstheme="minorHAnsi"/>
          <w:bCs/>
          <w:sz w:val="24"/>
          <w:szCs w:val="24"/>
          <w:lang w:val="es-UY"/>
        </w:rPr>
        <w:t xml:space="preserve">Natalia </w:t>
      </w:r>
      <w:proofErr w:type="spellStart"/>
      <w:r w:rsidRPr="00EB63D4">
        <w:rPr>
          <w:rFonts w:cstheme="minorHAnsi"/>
          <w:bCs/>
          <w:sz w:val="24"/>
          <w:szCs w:val="24"/>
          <w:lang w:val="es-UY"/>
        </w:rPr>
        <w:t>Castagnet</w:t>
      </w:r>
      <w:proofErr w:type="spellEnd"/>
      <w:r w:rsidR="0005403D" w:rsidRPr="00EB63D4">
        <w:rPr>
          <w:rFonts w:cstheme="minorHAnsi"/>
          <w:bCs/>
          <w:sz w:val="24"/>
          <w:szCs w:val="24"/>
          <w:lang w:val="es-UY"/>
        </w:rPr>
        <w:t xml:space="preserve"> (Referente temática)</w:t>
      </w:r>
    </w:p>
    <w:p w:rsidR="00030FDA" w:rsidRPr="00EB63D4" w:rsidRDefault="00030FDA" w:rsidP="00030FDA">
      <w:pPr>
        <w:rPr>
          <w:rFonts w:cstheme="minorHAnsi"/>
          <w:sz w:val="24"/>
          <w:szCs w:val="24"/>
        </w:rPr>
      </w:pPr>
      <w:r w:rsidRPr="00EB63D4">
        <w:rPr>
          <w:rFonts w:cstheme="minorHAnsi"/>
          <w:b/>
          <w:bCs/>
          <w:sz w:val="24"/>
          <w:szCs w:val="24"/>
          <w:lang w:val="es-UY"/>
        </w:rPr>
        <w:t>Organizaciones de la sociedad civil:</w:t>
      </w:r>
    </w:p>
    <w:p w:rsidR="00030FDA" w:rsidRPr="00EB63D4" w:rsidRDefault="00030FDA" w:rsidP="00030FDA">
      <w:pPr>
        <w:pStyle w:val="Prrafodelista"/>
        <w:numPr>
          <w:ilvl w:val="0"/>
          <w:numId w:val="7"/>
        </w:numPr>
        <w:rPr>
          <w:rFonts w:cstheme="minorHAnsi"/>
          <w:bCs/>
          <w:sz w:val="24"/>
          <w:szCs w:val="24"/>
          <w:lang w:val="es-UY"/>
        </w:rPr>
      </w:pPr>
      <w:r w:rsidRPr="00EB63D4">
        <w:rPr>
          <w:rFonts w:cstheme="minorHAnsi"/>
          <w:bCs/>
          <w:sz w:val="24"/>
          <w:szCs w:val="24"/>
          <w:lang w:val="es-UY"/>
        </w:rPr>
        <w:t>Alberto Villarreal (Redes Amigos de la Tierra-Uruguay)</w:t>
      </w:r>
    </w:p>
    <w:p w:rsidR="00030FDA" w:rsidRPr="00EB63D4" w:rsidRDefault="00030FDA" w:rsidP="00030FDA">
      <w:pPr>
        <w:pStyle w:val="Prrafodelista"/>
        <w:numPr>
          <w:ilvl w:val="0"/>
          <w:numId w:val="7"/>
        </w:numPr>
        <w:rPr>
          <w:rFonts w:cstheme="minorHAnsi"/>
          <w:bCs/>
          <w:sz w:val="24"/>
          <w:szCs w:val="24"/>
          <w:lang w:val="es-UY"/>
        </w:rPr>
      </w:pPr>
      <w:r w:rsidRPr="00EB63D4">
        <w:rPr>
          <w:rFonts w:cstheme="minorHAnsi"/>
          <w:bCs/>
          <w:sz w:val="24"/>
          <w:szCs w:val="24"/>
          <w:lang w:val="es-UY"/>
        </w:rPr>
        <w:t xml:space="preserve">Alejandra </w:t>
      </w:r>
      <w:proofErr w:type="spellStart"/>
      <w:r w:rsidRPr="00EB63D4">
        <w:rPr>
          <w:rFonts w:cstheme="minorHAnsi"/>
          <w:bCs/>
          <w:sz w:val="24"/>
          <w:szCs w:val="24"/>
          <w:lang w:val="es-UY"/>
        </w:rPr>
        <w:t>Scampini</w:t>
      </w:r>
      <w:proofErr w:type="spellEnd"/>
      <w:r w:rsidRPr="00EB63D4">
        <w:rPr>
          <w:rFonts w:cstheme="minorHAnsi"/>
          <w:bCs/>
          <w:sz w:val="24"/>
          <w:szCs w:val="24"/>
          <w:lang w:val="es-UY"/>
        </w:rPr>
        <w:t xml:space="preserve"> (PODER Uruguay)</w:t>
      </w:r>
    </w:p>
    <w:p w:rsidR="00030FDA" w:rsidRPr="00EB63D4" w:rsidRDefault="00030FDA" w:rsidP="00030FDA">
      <w:pPr>
        <w:pStyle w:val="Prrafodelista"/>
        <w:numPr>
          <w:ilvl w:val="0"/>
          <w:numId w:val="7"/>
        </w:numPr>
        <w:rPr>
          <w:rFonts w:cstheme="minorHAnsi"/>
          <w:bCs/>
          <w:sz w:val="24"/>
          <w:szCs w:val="24"/>
          <w:lang w:val="es-UY"/>
        </w:rPr>
      </w:pPr>
      <w:r w:rsidRPr="00EB63D4">
        <w:rPr>
          <w:rFonts w:cstheme="minorHAnsi"/>
          <w:bCs/>
          <w:sz w:val="24"/>
          <w:szCs w:val="24"/>
          <w:lang w:val="es-UY"/>
        </w:rPr>
        <w:t>Diego Rodríguez (CIET Uruguay)</w:t>
      </w:r>
    </w:p>
    <w:p w:rsidR="00030FDA" w:rsidRPr="00EB63D4" w:rsidRDefault="00030FDA" w:rsidP="00030FDA">
      <w:pPr>
        <w:pStyle w:val="Prrafodelista"/>
        <w:numPr>
          <w:ilvl w:val="0"/>
          <w:numId w:val="7"/>
        </w:numPr>
        <w:rPr>
          <w:rFonts w:cstheme="minorHAnsi"/>
          <w:bCs/>
          <w:sz w:val="24"/>
          <w:szCs w:val="24"/>
          <w:lang w:val="es-UY"/>
        </w:rPr>
      </w:pPr>
      <w:r w:rsidRPr="00EB63D4">
        <w:rPr>
          <w:rFonts w:cstheme="minorHAnsi"/>
          <w:bCs/>
          <w:sz w:val="24"/>
          <w:szCs w:val="24"/>
          <w:lang w:val="es-UY"/>
        </w:rPr>
        <w:t xml:space="preserve">Rodrigo </w:t>
      </w:r>
      <w:proofErr w:type="spellStart"/>
      <w:r w:rsidRPr="00EB63D4">
        <w:rPr>
          <w:rFonts w:cstheme="minorHAnsi"/>
          <w:bCs/>
          <w:sz w:val="24"/>
          <w:szCs w:val="24"/>
          <w:lang w:val="es-UY"/>
        </w:rPr>
        <w:t>Speranza</w:t>
      </w:r>
      <w:proofErr w:type="spellEnd"/>
      <w:r w:rsidRPr="00EB63D4">
        <w:rPr>
          <w:rFonts w:cstheme="minorHAnsi"/>
          <w:bCs/>
          <w:sz w:val="24"/>
          <w:szCs w:val="24"/>
          <w:lang w:val="es-UY"/>
        </w:rPr>
        <w:t xml:space="preserve">; Víctor </w:t>
      </w:r>
      <w:proofErr w:type="spellStart"/>
      <w:r w:rsidRPr="00EB63D4">
        <w:rPr>
          <w:rFonts w:cstheme="minorHAnsi"/>
          <w:bCs/>
          <w:sz w:val="24"/>
          <w:szCs w:val="24"/>
          <w:lang w:val="es-UY"/>
        </w:rPr>
        <w:t>Bacchetta</w:t>
      </w:r>
      <w:proofErr w:type="spellEnd"/>
      <w:r w:rsidRPr="00EB63D4">
        <w:rPr>
          <w:rFonts w:cstheme="minorHAnsi"/>
          <w:bCs/>
          <w:sz w:val="24"/>
          <w:szCs w:val="24"/>
          <w:lang w:val="es-UY"/>
        </w:rPr>
        <w:t xml:space="preserve"> (MOVUS Uruguay)</w:t>
      </w:r>
    </w:p>
    <w:p w:rsidR="00030FDA" w:rsidRPr="00EB63D4" w:rsidRDefault="00030FDA" w:rsidP="00030FDA">
      <w:pPr>
        <w:pStyle w:val="Prrafodelista"/>
        <w:numPr>
          <w:ilvl w:val="0"/>
          <w:numId w:val="7"/>
        </w:numPr>
        <w:rPr>
          <w:rFonts w:cstheme="minorHAnsi"/>
          <w:bCs/>
          <w:sz w:val="24"/>
          <w:szCs w:val="24"/>
          <w:lang w:val="es-UY"/>
        </w:rPr>
      </w:pPr>
      <w:r w:rsidRPr="00EB63D4">
        <w:rPr>
          <w:rFonts w:cstheme="minorHAnsi"/>
          <w:bCs/>
          <w:sz w:val="24"/>
          <w:szCs w:val="24"/>
          <w:lang w:val="es-UY"/>
        </w:rPr>
        <w:t xml:space="preserve">Viviana Rumbo; Fernando </w:t>
      </w:r>
      <w:proofErr w:type="spellStart"/>
      <w:r w:rsidRPr="00EB63D4">
        <w:rPr>
          <w:rFonts w:cstheme="minorHAnsi"/>
          <w:bCs/>
          <w:sz w:val="24"/>
          <w:szCs w:val="24"/>
          <w:lang w:val="es-UY"/>
        </w:rPr>
        <w:t>Gambera</w:t>
      </w:r>
      <w:proofErr w:type="spellEnd"/>
      <w:r w:rsidRPr="00EB63D4">
        <w:rPr>
          <w:rFonts w:cstheme="minorHAnsi"/>
          <w:bCs/>
          <w:sz w:val="24"/>
          <w:szCs w:val="24"/>
          <w:lang w:val="es-UY"/>
        </w:rPr>
        <w:t xml:space="preserve"> (PIT-CNT)</w:t>
      </w:r>
    </w:p>
    <w:p w:rsidR="00030FDA" w:rsidRPr="00EB63D4" w:rsidRDefault="005C0F0D" w:rsidP="00030FDA">
      <w:pPr>
        <w:rPr>
          <w:rFonts w:cstheme="minorHAnsi"/>
          <w:b/>
          <w:bCs/>
          <w:sz w:val="24"/>
          <w:szCs w:val="24"/>
          <w:lang w:val="es-UY"/>
        </w:rPr>
      </w:pPr>
      <w:r w:rsidRPr="00EB63D4">
        <w:rPr>
          <w:rFonts w:cstheme="minorHAnsi"/>
          <w:b/>
          <w:bCs/>
          <w:sz w:val="24"/>
          <w:szCs w:val="24"/>
          <w:lang w:val="es-UY"/>
        </w:rPr>
        <w:t>Poder Ejecutivo:</w:t>
      </w:r>
    </w:p>
    <w:p w:rsidR="00030FDA" w:rsidRPr="00EB63D4" w:rsidRDefault="00030FDA" w:rsidP="00030FDA">
      <w:pPr>
        <w:pStyle w:val="Prrafodelista"/>
        <w:numPr>
          <w:ilvl w:val="0"/>
          <w:numId w:val="7"/>
        </w:numPr>
        <w:rPr>
          <w:rFonts w:cstheme="minorHAnsi"/>
          <w:b/>
          <w:bCs/>
          <w:sz w:val="24"/>
          <w:szCs w:val="24"/>
          <w:u w:val="single"/>
          <w:lang w:val="es-UY"/>
        </w:rPr>
      </w:pPr>
      <w:r w:rsidRPr="00EB63D4">
        <w:rPr>
          <w:rFonts w:cstheme="minorHAnsi"/>
          <w:bCs/>
          <w:sz w:val="24"/>
          <w:szCs w:val="24"/>
          <w:lang w:val="es-UY"/>
        </w:rPr>
        <w:t xml:space="preserve">Marina </w:t>
      </w:r>
      <w:proofErr w:type="spellStart"/>
      <w:r w:rsidRPr="00EB63D4">
        <w:rPr>
          <w:rFonts w:cstheme="minorHAnsi"/>
          <w:bCs/>
          <w:sz w:val="24"/>
          <w:szCs w:val="24"/>
          <w:lang w:val="es-UY"/>
        </w:rPr>
        <w:t>Sande</w:t>
      </w:r>
      <w:proofErr w:type="spellEnd"/>
      <w:r w:rsidRPr="00EB63D4">
        <w:rPr>
          <w:rFonts w:cstheme="minorHAnsi"/>
          <w:bCs/>
          <w:sz w:val="24"/>
          <w:szCs w:val="24"/>
          <w:lang w:val="es-UY"/>
        </w:rPr>
        <w:t xml:space="preserve"> (MRREE)</w:t>
      </w:r>
    </w:p>
    <w:p w:rsidR="00030FDA" w:rsidRPr="00EB63D4" w:rsidRDefault="00030FDA" w:rsidP="00030FDA">
      <w:pPr>
        <w:pStyle w:val="Prrafodelista"/>
        <w:numPr>
          <w:ilvl w:val="0"/>
          <w:numId w:val="7"/>
        </w:numPr>
        <w:rPr>
          <w:rFonts w:cstheme="minorHAnsi"/>
          <w:b/>
          <w:bCs/>
          <w:sz w:val="24"/>
          <w:szCs w:val="24"/>
          <w:u w:val="single"/>
          <w:lang w:val="es-UY"/>
        </w:rPr>
      </w:pPr>
      <w:r w:rsidRPr="00EB63D4">
        <w:rPr>
          <w:rFonts w:cstheme="minorHAnsi"/>
          <w:bCs/>
          <w:sz w:val="24"/>
          <w:szCs w:val="24"/>
          <w:lang w:val="es-UY"/>
        </w:rPr>
        <w:t xml:space="preserve">Juan </w:t>
      </w:r>
      <w:proofErr w:type="spellStart"/>
      <w:r w:rsidRPr="00EB63D4">
        <w:rPr>
          <w:rFonts w:cstheme="minorHAnsi"/>
          <w:bCs/>
          <w:sz w:val="24"/>
          <w:szCs w:val="24"/>
          <w:lang w:val="es-UY"/>
        </w:rPr>
        <w:t>Labraga</w:t>
      </w:r>
      <w:proofErr w:type="spellEnd"/>
      <w:r w:rsidRPr="00EB63D4">
        <w:rPr>
          <w:rFonts w:cstheme="minorHAnsi"/>
          <w:bCs/>
          <w:sz w:val="24"/>
          <w:szCs w:val="24"/>
          <w:lang w:val="es-UY"/>
        </w:rPr>
        <w:t xml:space="preserve">; Carla </w:t>
      </w:r>
      <w:proofErr w:type="spellStart"/>
      <w:r w:rsidRPr="00EB63D4">
        <w:rPr>
          <w:rFonts w:cstheme="minorHAnsi"/>
          <w:bCs/>
          <w:sz w:val="24"/>
          <w:szCs w:val="24"/>
          <w:lang w:val="es-UY"/>
        </w:rPr>
        <w:t>Spagnuolo</w:t>
      </w:r>
      <w:proofErr w:type="spellEnd"/>
      <w:r w:rsidRPr="00EB63D4">
        <w:rPr>
          <w:rFonts w:cstheme="minorHAnsi"/>
          <w:bCs/>
          <w:sz w:val="24"/>
          <w:szCs w:val="24"/>
          <w:lang w:val="es-UY"/>
        </w:rPr>
        <w:t xml:space="preserve"> (MEF)</w:t>
      </w:r>
    </w:p>
    <w:p w:rsidR="005C0F0D" w:rsidRPr="00EB63D4" w:rsidRDefault="005C0F0D" w:rsidP="005C0F0D">
      <w:pPr>
        <w:rPr>
          <w:rFonts w:cstheme="minorHAnsi"/>
          <w:b/>
          <w:bCs/>
          <w:sz w:val="24"/>
          <w:szCs w:val="24"/>
          <w:u w:val="single"/>
          <w:lang w:val="es-UY"/>
        </w:rPr>
      </w:pPr>
      <w:bookmarkStart w:id="0" w:name="_GoBack"/>
      <w:bookmarkEnd w:id="0"/>
      <w:r w:rsidRPr="00EB63D4">
        <w:rPr>
          <w:rFonts w:cstheme="minorHAnsi"/>
          <w:b/>
          <w:bCs/>
          <w:sz w:val="24"/>
          <w:szCs w:val="24"/>
          <w:lang w:val="es-UY"/>
        </w:rPr>
        <w:t xml:space="preserve">Parlamento: </w:t>
      </w:r>
    </w:p>
    <w:p w:rsidR="00030FDA" w:rsidRPr="00EB63D4" w:rsidRDefault="00D73918" w:rsidP="00030FDA">
      <w:pPr>
        <w:pStyle w:val="Prrafodelista"/>
        <w:numPr>
          <w:ilvl w:val="0"/>
          <w:numId w:val="7"/>
        </w:numPr>
        <w:rPr>
          <w:rFonts w:cstheme="minorHAnsi"/>
          <w:b/>
          <w:bCs/>
          <w:sz w:val="24"/>
          <w:szCs w:val="24"/>
          <w:u w:val="single"/>
          <w:lang w:val="es-UY"/>
        </w:rPr>
      </w:pPr>
      <w:proofErr w:type="spellStart"/>
      <w:r>
        <w:rPr>
          <w:rFonts w:cstheme="minorHAnsi"/>
          <w:bCs/>
          <w:sz w:val="24"/>
          <w:szCs w:val="24"/>
          <w:lang w:val="es-UY"/>
        </w:rPr>
        <w:t>Dip</w:t>
      </w:r>
      <w:proofErr w:type="spellEnd"/>
      <w:r>
        <w:rPr>
          <w:rFonts w:cstheme="minorHAnsi"/>
          <w:bCs/>
          <w:sz w:val="24"/>
          <w:szCs w:val="24"/>
          <w:lang w:val="es-UY"/>
        </w:rPr>
        <w:t xml:space="preserve">. </w:t>
      </w:r>
      <w:r w:rsidRPr="00EB63D4">
        <w:rPr>
          <w:rFonts w:cstheme="minorHAnsi"/>
          <w:bCs/>
          <w:sz w:val="24"/>
          <w:szCs w:val="24"/>
          <w:lang w:val="es-UY"/>
        </w:rPr>
        <w:t>Lilian</w:t>
      </w:r>
      <w:r w:rsidR="00030FDA" w:rsidRPr="00EB63D4">
        <w:rPr>
          <w:rFonts w:cstheme="minorHAnsi"/>
          <w:bCs/>
          <w:sz w:val="24"/>
          <w:szCs w:val="24"/>
          <w:lang w:val="es-UY"/>
        </w:rPr>
        <w:t xml:space="preserve"> Galán (Red Mundial Interparlamentaria por el Tratado Vinculante).</w:t>
      </w:r>
      <w:r>
        <w:rPr>
          <w:rFonts w:cstheme="minorHAnsi"/>
          <w:bCs/>
          <w:sz w:val="24"/>
          <w:szCs w:val="24"/>
          <w:lang w:val="es-UY"/>
        </w:rPr>
        <w:t xml:space="preserve"> Alterna: Alicia </w:t>
      </w:r>
      <w:proofErr w:type="spellStart"/>
      <w:r>
        <w:rPr>
          <w:rFonts w:cstheme="minorHAnsi"/>
          <w:bCs/>
          <w:sz w:val="24"/>
          <w:szCs w:val="24"/>
          <w:lang w:val="es-UY"/>
        </w:rPr>
        <w:t>Araújo</w:t>
      </w:r>
      <w:proofErr w:type="spellEnd"/>
      <w:r>
        <w:rPr>
          <w:rFonts w:cstheme="minorHAnsi"/>
          <w:bCs/>
          <w:sz w:val="24"/>
          <w:szCs w:val="24"/>
          <w:lang w:val="es-UY"/>
        </w:rPr>
        <w:t>.</w:t>
      </w:r>
    </w:p>
    <w:p w:rsidR="00030FDA" w:rsidRPr="00EB63D4" w:rsidRDefault="005C0F0D" w:rsidP="005C0F0D">
      <w:pPr>
        <w:rPr>
          <w:rFonts w:cstheme="minorHAnsi"/>
          <w:b/>
          <w:bCs/>
          <w:sz w:val="24"/>
          <w:szCs w:val="24"/>
          <w:lang w:val="es-UY"/>
        </w:rPr>
      </w:pPr>
      <w:r w:rsidRPr="00EB63D4">
        <w:rPr>
          <w:rFonts w:cstheme="minorHAnsi"/>
          <w:b/>
          <w:bCs/>
          <w:sz w:val="24"/>
          <w:szCs w:val="24"/>
          <w:lang w:val="es-UY"/>
        </w:rPr>
        <w:t>Universidad de la República:</w:t>
      </w:r>
    </w:p>
    <w:p w:rsidR="005C0F0D" w:rsidRPr="00EB63D4" w:rsidRDefault="005C0F0D" w:rsidP="005C0F0D">
      <w:pPr>
        <w:pStyle w:val="Prrafodelista"/>
        <w:numPr>
          <w:ilvl w:val="0"/>
          <w:numId w:val="8"/>
        </w:numPr>
        <w:rPr>
          <w:rFonts w:cstheme="minorHAnsi"/>
          <w:sz w:val="24"/>
          <w:szCs w:val="24"/>
        </w:rPr>
      </w:pPr>
      <w:proofErr w:type="spellStart"/>
      <w:r w:rsidRPr="00EB63D4">
        <w:rPr>
          <w:rFonts w:cstheme="minorHAnsi"/>
          <w:bCs/>
          <w:sz w:val="24"/>
          <w:szCs w:val="24"/>
          <w:lang w:val="es-UY"/>
        </w:rPr>
        <w:t>Daoiz</w:t>
      </w:r>
      <w:proofErr w:type="spellEnd"/>
      <w:r w:rsidRPr="00EB63D4">
        <w:rPr>
          <w:rFonts w:cstheme="minorHAnsi"/>
          <w:bCs/>
          <w:sz w:val="24"/>
          <w:szCs w:val="24"/>
          <w:lang w:val="es-UY"/>
        </w:rPr>
        <w:t xml:space="preserve"> Uriarte (</w:t>
      </w:r>
      <w:r w:rsidRPr="00EB63D4">
        <w:rPr>
          <w:rFonts w:cstheme="minorHAnsi"/>
          <w:sz w:val="24"/>
          <w:szCs w:val="24"/>
          <w:lang w:val="es-UY"/>
        </w:rPr>
        <w:t>Instituto de Derechos Humanos de Facultad de Derecho)</w:t>
      </w:r>
    </w:p>
    <w:p w:rsidR="00030FDA" w:rsidRPr="00EB63D4" w:rsidRDefault="00FB19A4" w:rsidP="008460C3">
      <w:pPr>
        <w:rPr>
          <w:rFonts w:cstheme="minorHAnsi"/>
          <w:b/>
          <w:bCs/>
          <w:sz w:val="24"/>
          <w:szCs w:val="24"/>
          <w:lang w:val="es-UY"/>
        </w:rPr>
      </w:pPr>
      <w:r w:rsidRPr="00EB63D4">
        <w:rPr>
          <w:rFonts w:cstheme="minorHAnsi"/>
          <w:b/>
          <w:bCs/>
          <w:sz w:val="24"/>
          <w:szCs w:val="24"/>
          <w:lang w:val="es-UY"/>
        </w:rPr>
        <w:t>Observadores</w:t>
      </w:r>
      <w:r w:rsidR="00613509">
        <w:rPr>
          <w:rFonts w:cstheme="minorHAnsi"/>
          <w:b/>
          <w:bCs/>
          <w:sz w:val="24"/>
          <w:szCs w:val="24"/>
          <w:lang w:val="es-UY"/>
        </w:rPr>
        <w:t>/as</w:t>
      </w:r>
      <w:r w:rsidRPr="00EB63D4">
        <w:rPr>
          <w:rFonts w:cstheme="minorHAnsi"/>
          <w:b/>
          <w:bCs/>
          <w:sz w:val="24"/>
          <w:szCs w:val="24"/>
          <w:lang w:val="es-UY"/>
        </w:rPr>
        <w:t>:</w:t>
      </w:r>
    </w:p>
    <w:p w:rsidR="00613509" w:rsidRPr="00EB63D4" w:rsidRDefault="00613509" w:rsidP="00FB19A4">
      <w:pPr>
        <w:pStyle w:val="Prrafodelista"/>
        <w:numPr>
          <w:ilvl w:val="0"/>
          <w:numId w:val="8"/>
        </w:numPr>
        <w:rPr>
          <w:rFonts w:cstheme="minorHAnsi"/>
          <w:bCs/>
          <w:sz w:val="24"/>
          <w:szCs w:val="24"/>
          <w:lang w:val="es-UY"/>
        </w:rPr>
      </w:pPr>
      <w:r>
        <w:rPr>
          <w:rFonts w:cstheme="minorHAnsi"/>
          <w:bCs/>
          <w:sz w:val="24"/>
          <w:szCs w:val="24"/>
          <w:lang w:val="es-UY"/>
        </w:rPr>
        <w:t xml:space="preserve">Andrea </w:t>
      </w:r>
      <w:proofErr w:type="spellStart"/>
      <w:r>
        <w:rPr>
          <w:rFonts w:cstheme="minorHAnsi"/>
          <w:bCs/>
          <w:sz w:val="24"/>
          <w:szCs w:val="24"/>
          <w:lang w:val="es-UY"/>
        </w:rPr>
        <w:t>Detjen</w:t>
      </w:r>
      <w:proofErr w:type="spellEnd"/>
      <w:r>
        <w:rPr>
          <w:rFonts w:cstheme="minorHAnsi"/>
          <w:bCs/>
          <w:sz w:val="24"/>
          <w:szCs w:val="24"/>
          <w:lang w:val="es-UY"/>
        </w:rPr>
        <w:t>; Virginia Arribas (CIEDUR)</w:t>
      </w:r>
    </w:p>
    <w:p w:rsidR="00FB19A4" w:rsidRPr="00EB63D4" w:rsidRDefault="00FB19A4" w:rsidP="00FB19A4">
      <w:pPr>
        <w:rPr>
          <w:rFonts w:cstheme="minorHAnsi"/>
          <w:b/>
          <w:bCs/>
          <w:sz w:val="24"/>
          <w:szCs w:val="24"/>
          <w:lang w:val="es-UY"/>
        </w:rPr>
      </w:pPr>
      <w:r w:rsidRPr="00EB63D4">
        <w:rPr>
          <w:rFonts w:cstheme="minorHAnsi"/>
          <w:b/>
          <w:bCs/>
          <w:sz w:val="24"/>
          <w:szCs w:val="24"/>
          <w:lang w:val="es-UY"/>
        </w:rPr>
        <w:t>Docente Invitado:</w:t>
      </w:r>
    </w:p>
    <w:p w:rsidR="00FB19A4" w:rsidRPr="00EB63D4" w:rsidRDefault="00FB19A4" w:rsidP="00FB19A4">
      <w:pPr>
        <w:pStyle w:val="Prrafodelista"/>
        <w:numPr>
          <w:ilvl w:val="0"/>
          <w:numId w:val="8"/>
        </w:numPr>
        <w:rPr>
          <w:rFonts w:cstheme="minorHAnsi"/>
          <w:bCs/>
          <w:sz w:val="24"/>
          <w:szCs w:val="24"/>
          <w:lang w:val="es-UY"/>
        </w:rPr>
      </w:pPr>
      <w:r w:rsidRPr="00EB63D4">
        <w:rPr>
          <w:rFonts w:cstheme="minorHAnsi"/>
          <w:bCs/>
          <w:sz w:val="24"/>
          <w:szCs w:val="24"/>
          <w:lang w:val="es-UY"/>
        </w:rPr>
        <w:t xml:space="preserve">Hugo </w:t>
      </w:r>
      <w:proofErr w:type="spellStart"/>
      <w:r w:rsidRPr="00EB63D4">
        <w:rPr>
          <w:rFonts w:cstheme="minorHAnsi"/>
          <w:bCs/>
          <w:sz w:val="24"/>
          <w:szCs w:val="24"/>
          <w:lang w:val="es-UY"/>
        </w:rPr>
        <w:t>Barretto</w:t>
      </w:r>
      <w:proofErr w:type="spellEnd"/>
      <w:r w:rsidR="001A5609">
        <w:rPr>
          <w:rFonts w:cstheme="minorHAnsi"/>
          <w:bCs/>
          <w:sz w:val="24"/>
          <w:szCs w:val="24"/>
          <w:lang w:val="es-UY"/>
        </w:rPr>
        <w:t xml:space="preserve"> (</w:t>
      </w:r>
      <w:r w:rsidR="001A5609">
        <w:rPr>
          <w:rFonts w:ascii="Segoe UI" w:hAnsi="Segoe UI" w:cs="Segoe UI"/>
          <w:color w:val="000000"/>
          <w:sz w:val="21"/>
          <w:szCs w:val="21"/>
          <w:shd w:val="clear" w:color="auto" w:fill="FFFFFF"/>
        </w:rPr>
        <w:t xml:space="preserve">Profesor Titular en Derecho del Trabajo y Seguridad Social, Facultad de Derecho, </w:t>
      </w:r>
      <w:proofErr w:type="spellStart"/>
      <w:r w:rsidR="001A5609">
        <w:rPr>
          <w:rFonts w:ascii="Segoe UI" w:hAnsi="Segoe UI" w:cs="Segoe UI"/>
          <w:color w:val="000000"/>
          <w:sz w:val="21"/>
          <w:szCs w:val="21"/>
          <w:shd w:val="clear" w:color="auto" w:fill="FFFFFF"/>
        </w:rPr>
        <w:t>UdelaR</w:t>
      </w:r>
      <w:proofErr w:type="spellEnd"/>
      <w:r w:rsidR="001A5609">
        <w:rPr>
          <w:rFonts w:ascii="Segoe UI" w:hAnsi="Segoe UI" w:cs="Segoe UI"/>
          <w:color w:val="000000"/>
          <w:sz w:val="21"/>
          <w:szCs w:val="21"/>
          <w:shd w:val="clear" w:color="auto" w:fill="FFFFFF"/>
        </w:rPr>
        <w:t>).</w:t>
      </w:r>
    </w:p>
    <w:p w:rsidR="008460C3" w:rsidRPr="00EB63D4" w:rsidRDefault="008460C3">
      <w:pPr>
        <w:rPr>
          <w:rFonts w:cstheme="minorHAnsi"/>
          <w:sz w:val="24"/>
          <w:szCs w:val="24"/>
        </w:rPr>
      </w:pPr>
    </w:p>
    <w:p w:rsidR="0007757A" w:rsidRPr="00EB63D4" w:rsidRDefault="0007757A">
      <w:pPr>
        <w:rPr>
          <w:rFonts w:cstheme="minorHAnsi"/>
          <w:i/>
          <w:sz w:val="24"/>
          <w:szCs w:val="24"/>
        </w:rPr>
      </w:pPr>
      <w:r w:rsidRPr="00EB63D4">
        <w:rPr>
          <w:rFonts w:cstheme="minorHAnsi"/>
          <w:i/>
          <w:sz w:val="24"/>
          <w:szCs w:val="24"/>
        </w:rPr>
        <w:t>Nota: Las ideas y opiniones expresadas en este documento son resultado de un proceso de trabajo colectivo. No representan necesariamente las opiniones de cada uno/a de los/as participantes del Grupo de Trabajo a nivel individual, como tampoco representan las ideas de los organismos públicos y/o de las organizaciones de las que forman parte.</w:t>
      </w:r>
    </w:p>
    <w:p w:rsidR="00613509" w:rsidRDefault="00613509">
      <w:pPr>
        <w:rPr>
          <w:rFonts w:cstheme="minorHAnsi"/>
          <w:b/>
          <w:sz w:val="24"/>
          <w:szCs w:val="24"/>
          <w:u w:val="single"/>
        </w:rPr>
      </w:pPr>
    </w:p>
    <w:p w:rsidR="00BD6236" w:rsidRPr="00EB63D4" w:rsidRDefault="00040C60">
      <w:pPr>
        <w:rPr>
          <w:rFonts w:cstheme="minorHAnsi"/>
          <w:b/>
          <w:sz w:val="24"/>
          <w:szCs w:val="24"/>
          <w:u w:val="single"/>
        </w:rPr>
      </w:pPr>
      <w:r w:rsidRPr="00EB63D4">
        <w:rPr>
          <w:rFonts w:cstheme="minorHAnsi"/>
          <w:b/>
          <w:sz w:val="24"/>
          <w:szCs w:val="24"/>
          <w:u w:val="single"/>
        </w:rPr>
        <w:t>II - Intro</w:t>
      </w:r>
      <w:r w:rsidR="00FB19A4" w:rsidRPr="00EB63D4">
        <w:rPr>
          <w:rFonts w:cstheme="minorHAnsi"/>
          <w:b/>
          <w:sz w:val="24"/>
          <w:szCs w:val="24"/>
          <w:u w:val="single"/>
        </w:rPr>
        <w:t>ducción</w:t>
      </w:r>
      <w:r w:rsidRPr="00EB63D4">
        <w:rPr>
          <w:rFonts w:cstheme="minorHAnsi"/>
          <w:b/>
          <w:sz w:val="24"/>
          <w:szCs w:val="24"/>
          <w:u w:val="single"/>
        </w:rPr>
        <w:t>:</w:t>
      </w:r>
    </w:p>
    <w:p w:rsidR="008460C3" w:rsidRPr="00EB63D4" w:rsidRDefault="0007757A" w:rsidP="008460C3">
      <w:pPr>
        <w:rPr>
          <w:rFonts w:cstheme="minorHAnsi"/>
          <w:sz w:val="24"/>
          <w:szCs w:val="24"/>
        </w:rPr>
      </w:pPr>
      <w:r w:rsidRPr="00EB63D4">
        <w:rPr>
          <w:rFonts w:cstheme="minorHAnsi"/>
          <w:sz w:val="24"/>
          <w:szCs w:val="24"/>
        </w:rPr>
        <w:t>La actuación de Grupos de Trabajo están previstos en el Art. 66 de la Ley N° 18.446, a fin de elaborar “informes, relatorías, propuestas, recomendaciones, estudios y otros trabajos” y serán “integrados por miembros de la INDDHH que los presidirán, representantes de organizaciones sociales, de organismos o instituciones estatales o de objeto de contralor de la INDDHH, en cuanto correspondan por la temática a la que se refieran”.</w:t>
      </w:r>
      <w:r w:rsidR="00FB19A4" w:rsidRPr="00EB63D4">
        <w:rPr>
          <w:rFonts w:cstheme="minorHAnsi"/>
          <w:sz w:val="24"/>
          <w:szCs w:val="24"/>
        </w:rPr>
        <w:t xml:space="preserve"> </w:t>
      </w:r>
      <w:r w:rsidR="008460C3" w:rsidRPr="00EB63D4">
        <w:rPr>
          <w:rFonts w:cstheme="minorHAnsi"/>
          <w:sz w:val="24"/>
          <w:szCs w:val="24"/>
          <w:lang w:val="es-UY"/>
        </w:rPr>
        <w:t>Estas instancias buscan profundizar en el conocimiento y la visibilidad de temas de interés relacionados con las obligaciones del Estado uruguayo en materia de derechos humanos.</w:t>
      </w:r>
    </w:p>
    <w:p w:rsidR="008460C3" w:rsidRPr="00EB63D4" w:rsidRDefault="00FB19A4" w:rsidP="008460C3">
      <w:pPr>
        <w:rPr>
          <w:rFonts w:cstheme="minorHAnsi"/>
          <w:sz w:val="24"/>
          <w:szCs w:val="24"/>
          <w:lang w:val="es-UY"/>
        </w:rPr>
      </w:pPr>
      <w:r w:rsidRPr="00EB63D4">
        <w:rPr>
          <w:rFonts w:cstheme="minorHAnsi"/>
          <w:sz w:val="24"/>
          <w:szCs w:val="24"/>
        </w:rPr>
        <w:t>La creación del presente Grupo de Trabajo fue propuesto por in</w:t>
      </w:r>
      <w:proofErr w:type="spellStart"/>
      <w:r w:rsidR="008460C3" w:rsidRPr="00EB63D4">
        <w:rPr>
          <w:rFonts w:cstheme="minorHAnsi"/>
          <w:sz w:val="24"/>
          <w:szCs w:val="24"/>
          <w:lang w:val="es-UY"/>
        </w:rPr>
        <w:t>iciativa</w:t>
      </w:r>
      <w:proofErr w:type="spellEnd"/>
      <w:r w:rsidR="008460C3" w:rsidRPr="00EB63D4">
        <w:rPr>
          <w:rFonts w:cstheme="minorHAnsi"/>
          <w:sz w:val="24"/>
          <w:szCs w:val="24"/>
          <w:lang w:val="es-UY"/>
        </w:rPr>
        <w:t xml:space="preserve"> de orga</w:t>
      </w:r>
      <w:r w:rsidR="00CF5E40" w:rsidRPr="00EB63D4">
        <w:rPr>
          <w:rFonts w:cstheme="minorHAnsi"/>
          <w:sz w:val="24"/>
          <w:szCs w:val="24"/>
          <w:lang w:val="es-UY"/>
        </w:rPr>
        <w:t>nizaciones de la sociedad civil y</w:t>
      </w:r>
      <w:r w:rsidR="00CF5E40" w:rsidRPr="00EB63D4">
        <w:rPr>
          <w:rFonts w:cstheme="minorHAnsi"/>
          <w:sz w:val="24"/>
          <w:szCs w:val="24"/>
        </w:rPr>
        <w:t xml:space="preserve"> a</w:t>
      </w:r>
      <w:r w:rsidR="00CF5E40" w:rsidRPr="00EB63D4">
        <w:rPr>
          <w:rFonts w:cstheme="minorHAnsi"/>
          <w:sz w:val="24"/>
          <w:szCs w:val="24"/>
          <w:lang w:val="es-UY"/>
        </w:rPr>
        <w:t>probada</w:t>
      </w:r>
      <w:r w:rsidR="008460C3" w:rsidRPr="00EB63D4">
        <w:rPr>
          <w:rFonts w:cstheme="minorHAnsi"/>
          <w:sz w:val="24"/>
          <w:szCs w:val="24"/>
          <w:lang w:val="es-UY"/>
        </w:rPr>
        <w:t xml:space="preserve"> por el</w:t>
      </w:r>
      <w:r w:rsidR="00CF5E40" w:rsidRPr="00EB63D4">
        <w:rPr>
          <w:rFonts w:cstheme="minorHAnsi"/>
          <w:sz w:val="24"/>
          <w:szCs w:val="24"/>
          <w:lang w:val="es-UY"/>
        </w:rPr>
        <w:t xml:space="preserve"> Consejo Directivo de la INDDHH.</w:t>
      </w:r>
    </w:p>
    <w:p w:rsidR="008460C3" w:rsidRPr="00EB63D4" w:rsidRDefault="00CF5E40" w:rsidP="008460C3">
      <w:pPr>
        <w:rPr>
          <w:rFonts w:cstheme="minorHAnsi"/>
          <w:sz w:val="24"/>
          <w:szCs w:val="24"/>
        </w:rPr>
      </w:pPr>
      <w:r w:rsidRPr="00EB63D4">
        <w:rPr>
          <w:rFonts w:cstheme="minorHAnsi"/>
          <w:sz w:val="24"/>
          <w:szCs w:val="24"/>
          <w:lang w:val="es-UY"/>
        </w:rPr>
        <w:t xml:space="preserve">La INDDHH realizó una convocatoria amplia para la integración del mismo, invitando </w:t>
      </w:r>
      <w:r w:rsidR="008460C3" w:rsidRPr="00EB63D4">
        <w:rPr>
          <w:rFonts w:cstheme="minorHAnsi"/>
          <w:sz w:val="24"/>
          <w:szCs w:val="24"/>
          <w:lang w:val="es-UY"/>
        </w:rPr>
        <w:t xml:space="preserve"> a </w:t>
      </w:r>
      <w:r w:rsidRPr="00EB63D4">
        <w:rPr>
          <w:rFonts w:cstheme="minorHAnsi"/>
          <w:sz w:val="24"/>
          <w:szCs w:val="24"/>
          <w:lang w:val="es-UY"/>
        </w:rPr>
        <w:t xml:space="preserve">participar a </w:t>
      </w:r>
      <w:r w:rsidR="008460C3" w:rsidRPr="00EB63D4">
        <w:rPr>
          <w:rFonts w:cstheme="minorHAnsi"/>
          <w:sz w:val="24"/>
          <w:szCs w:val="24"/>
          <w:lang w:val="es-UY"/>
        </w:rPr>
        <w:t>organismos pú</w:t>
      </w:r>
      <w:r w:rsidR="0016489D" w:rsidRPr="00EB63D4">
        <w:rPr>
          <w:rFonts w:cstheme="minorHAnsi"/>
          <w:sz w:val="24"/>
          <w:szCs w:val="24"/>
          <w:lang w:val="es-UY"/>
        </w:rPr>
        <w:t>b</w:t>
      </w:r>
      <w:r w:rsidR="008460C3" w:rsidRPr="00EB63D4">
        <w:rPr>
          <w:rFonts w:cstheme="minorHAnsi"/>
          <w:sz w:val="24"/>
          <w:szCs w:val="24"/>
          <w:lang w:val="es-UY"/>
        </w:rPr>
        <w:t>licos, organizaciones sociales y academia.</w:t>
      </w:r>
    </w:p>
    <w:p w:rsidR="001A5609" w:rsidRDefault="00CF5E40" w:rsidP="001A5609">
      <w:pPr>
        <w:rPr>
          <w:rFonts w:cstheme="minorHAnsi"/>
          <w:sz w:val="24"/>
          <w:szCs w:val="24"/>
          <w:lang w:val="es-UY"/>
        </w:rPr>
      </w:pPr>
      <w:r w:rsidRPr="00EB63D4">
        <w:rPr>
          <w:rFonts w:cstheme="minorHAnsi"/>
          <w:sz w:val="24"/>
          <w:szCs w:val="24"/>
          <w:lang w:val="es-UY"/>
        </w:rPr>
        <w:t xml:space="preserve">En el segundo semestre de 2021 se realizaron actividades preparatorias, y el grupo comenzó a sesionar el </w:t>
      </w:r>
      <w:r w:rsidR="008460C3" w:rsidRPr="00EB63D4">
        <w:rPr>
          <w:rFonts w:cstheme="minorHAnsi"/>
          <w:sz w:val="24"/>
          <w:szCs w:val="24"/>
          <w:lang w:val="es-UY"/>
        </w:rPr>
        <w:t xml:space="preserve"> 9/12/2021</w:t>
      </w:r>
      <w:r w:rsidR="001A5609">
        <w:rPr>
          <w:rFonts w:cstheme="minorHAnsi"/>
          <w:sz w:val="24"/>
          <w:szCs w:val="24"/>
          <w:lang w:val="es-UY"/>
        </w:rPr>
        <w:t>.</w:t>
      </w:r>
      <w:r w:rsidR="008460C3" w:rsidRPr="00EB63D4">
        <w:rPr>
          <w:rFonts w:cstheme="minorHAnsi"/>
          <w:sz w:val="24"/>
          <w:szCs w:val="24"/>
          <w:lang w:val="es-UY"/>
        </w:rPr>
        <w:t xml:space="preserve"> </w:t>
      </w:r>
    </w:p>
    <w:p w:rsidR="001A5609" w:rsidRPr="00157161" w:rsidRDefault="001A5609" w:rsidP="001A5609">
      <w:pPr>
        <w:rPr>
          <w:rFonts w:cstheme="minorHAnsi"/>
          <w:sz w:val="24"/>
          <w:szCs w:val="24"/>
          <w:lang w:val="es-UY"/>
        </w:rPr>
      </w:pPr>
      <w:r w:rsidRPr="00157161">
        <w:rPr>
          <w:rFonts w:cstheme="minorHAnsi"/>
          <w:sz w:val="24"/>
          <w:szCs w:val="24"/>
          <w:lang w:val="es-UY"/>
        </w:rPr>
        <w:t xml:space="preserve">Este primer informe de avance recoge lo trabajado hasta la fecha. </w:t>
      </w:r>
    </w:p>
    <w:p w:rsidR="00EB63D4" w:rsidRPr="00EB63D4" w:rsidRDefault="00EB63D4" w:rsidP="008460C3">
      <w:pPr>
        <w:rPr>
          <w:rFonts w:cstheme="minorHAnsi"/>
          <w:sz w:val="24"/>
          <w:szCs w:val="24"/>
          <w:lang w:val="es-UY"/>
        </w:rPr>
      </w:pPr>
    </w:p>
    <w:p w:rsidR="008460C3" w:rsidRPr="00EB63D4" w:rsidRDefault="00040C60" w:rsidP="008460C3">
      <w:pPr>
        <w:rPr>
          <w:rFonts w:cstheme="minorHAnsi"/>
          <w:sz w:val="24"/>
          <w:szCs w:val="24"/>
        </w:rPr>
      </w:pPr>
      <w:r w:rsidRPr="00EB63D4">
        <w:rPr>
          <w:rFonts w:cstheme="minorHAnsi"/>
          <w:b/>
          <w:bCs/>
          <w:sz w:val="24"/>
          <w:szCs w:val="24"/>
          <w:u w:val="single"/>
          <w:lang w:val="es-UY"/>
        </w:rPr>
        <w:t xml:space="preserve">III - </w:t>
      </w:r>
      <w:r w:rsidR="008460C3" w:rsidRPr="00EB63D4">
        <w:rPr>
          <w:rFonts w:cstheme="minorHAnsi"/>
          <w:b/>
          <w:bCs/>
          <w:sz w:val="24"/>
          <w:szCs w:val="24"/>
          <w:u w:val="single"/>
          <w:lang w:val="es-UY"/>
        </w:rPr>
        <w:t>Objetivos:</w:t>
      </w:r>
    </w:p>
    <w:p w:rsidR="008460C3" w:rsidRPr="00EB63D4" w:rsidRDefault="008460C3" w:rsidP="008460C3">
      <w:pPr>
        <w:rPr>
          <w:rFonts w:cstheme="minorHAnsi"/>
          <w:sz w:val="24"/>
          <w:szCs w:val="24"/>
        </w:rPr>
      </w:pPr>
      <w:r w:rsidRPr="00EB63D4">
        <w:rPr>
          <w:rFonts w:cstheme="minorHAnsi"/>
          <w:sz w:val="24"/>
          <w:szCs w:val="24"/>
          <w:lang w:val="es-UY"/>
        </w:rPr>
        <w:t>- Analizar los antecedentes y el proceso de negociación en el Consejo de Derechos Humanos de las Naciones Unidas de un instrumento internacional jurídicamente vinculante para regular las actividades de las empresas transnacionales y otras empresas en el Derecho Internacional de los Derechos Humanos.</w:t>
      </w:r>
    </w:p>
    <w:p w:rsidR="008460C3" w:rsidRPr="00EB63D4" w:rsidRDefault="008460C3" w:rsidP="008460C3">
      <w:pPr>
        <w:rPr>
          <w:rFonts w:cstheme="minorHAnsi"/>
          <w:sz w:val="24"/>
          <w:szCs w:val="24"/>
        </w:rPr>
      </w:pPr>
      <w:r w:rsidRPr="00EB63D4">
        <w:rPr>
          <w:rFonts w:cstheme="minorHAnsi"/>
          <w:sz w:val="24"/>
          <w:szCs w:val="24"/>
          <w:lang w:val="es-UY"/>
        </w:rPr>
        <w:t>- Aportar a la generación de insumos para la toma de posición del Estado uruguayo en el proceso de discusión en la órbita de Naciones Unidas, en coordinación con los organismos competentes.</w:t>
      </w:r>
    </w:p>
    <w:p w:rsidR="008460C3" w:rsidRPr="00EB63D4" w:rsidRDefault="008460C3" w:rsidP="008460C3">
      <w:pPr>
        <w:rPr>
          <w:rFonts w:cstheme="minorHAnsi"/>
          <w:sz w:val="24"/>
          <w:szCs w:val="24"/>
        </w:rPr>
      </w:pPr>
      <w:r w:rsidRPr="00EB63D4">
        <w:rPr>
          <w:rFonts w:cstheme="minorHAnsi"/>
          <w:sz w:val="24"/>
          <w:szCs w:val="24"/>
          <w:lang w:val="es-UY"/>
        </w:rPr>
        <w:t>- Contribuir a visibilizar el tema en la agenda pública.</w:t>
      </w:r>
    </w:p>
    <w:p w:rsidR="00EB63D4" w:rsidRDefault="00EB63D4">
      <w:pPr>
        <w:rPr>
          <w:rFonts w:cstheme="minorHAnsi"/>
          <w:b/>
          <w:sz w:val="24"/>
          <w:szCs w:val="24"/>
          <w:u w:val="single"/>
        </w:rPr>
      </w:pPr>
    </w:p>
    <w:p w:rsidR="00EB63D4" w:rsidRDefault="00040C60" w:rsidP="00EB63D4">
      <w:pPr>
        <w:rPr>
          <w:rFonts w:cstheme="minorHAnsi"/>
          <w:sz w:val="24"/>
          <w:szCs w:val="24"/>
        </w:rPr>
      </w:pPr>
      <w:r w:rsidRPr="00EB63D4">
        <w:rPr>
          <w:rFonts w:cstheme="minorHAnsi"/>
          <w:b/>
          <w:sz w:val="24"/>
          <w:szCs w:val="24"/>
          <w:u w:val="single"/>
        </w:rPr>
        <w:t xml:space="preserve">IV- </w:t>
      </w:r>
      <w:r w:rsidR="0099540C" w:rsidRPr="00EB63D4">
        <w:rPr>
          <w:rFonts w:cstheme="minorHAnsi"/>
          <w:b/>
          <w:sz w:val="24"/>
          <w:szCs w:val="24"/>
          <w:u w:val="single"/>
        </w:rPr>
        <w:t>Antecedentes de la propuesta de Tratado Vinculante</w:t>
      </w:r>
      <w:r w:rsidRPr="00EB63D4">
        <w:rPr>
          <w:rFonts w:cstheme="minorHAnsi"/>
          <w:b/>
          <w:sz w:val="24"/>
          <w:szCs w:val="24"/>
          <w:u w:val="single"/>
        </w:rPr>
        <w:t xml:space="preserve"> a nivel internacional</w:t>
      </w:r>
      <w:r w:rsidRPr="00EB63D4">
        <w:rPr>
          <w:rFonts w:cstheme="minorHAnsi"/>
          <w:b/>
          <w:sz w:val="24"/>
          <w:szCs w:val="24"/>
          <w:u w:val="single"/>
        </w:rPr>
        <w:br/>
      </w:r>
    </w:p>
    <w:p w:rsidR="00040C60" w:rsidRPr="00EB63D4" w:rsidRDefault="00341EE2" w:rsidP="00EB63D4">
      <w:pPr>
        <w:rPr>
          <w:rFonts w:cstheme="minorHAnsi"/>
          <w:sz w:val="24"/>
          <w:szCs w:val="24"/>
        </w:rPr>
      </w:pPr>
      <w:r w:rsidRPr="00EB63D4">
        <w:rPr>
          <w:rFonts w:cstheme="minorHAnsi"/>
          <w:sz w:val="24"/>
          <w:szCs w:val="24"/>
        </w:rPr>
        <w:t>En la década de 1970</w:t>
      </w:r>
      <w:r w:rsidR="00040C60" w:rsidRPr="00EB63D4">
        <w:rPr>
          <w:rFonts w:cstheme="minorHAnsi"/>
          <w:sz w:val="24"/>
          <w:szCs w:val="24"/>
        </w:rPr>
        <w:t xml:space="preserve"> comenzó la discusión internacional sobre la participación de empresas transnacionales en violaciones de derechos humanos, en relación al papel </w:t>
      </w:r>
      <w:r w:rsidR="00040C60" w:rsidRPr="00EB63D4">
        <w:rPr>
          <w:rFonts w:cstheme="minorHAnsi"/>
          <w:sz w:val="24"/>
          <w:szCs w:val="24"/>
        </w:rPr>
        <w:lastRenderedPageBreak/>
        <w:t xml:space="preserve">que </w:t>
      </w:r>
      <w:r w:rsidRPr="00EB63D4">
        <w:rPr>
          <w:rFonts w:cstheme="minorHAnsi"/>
          <w:sz w:val="24"/>
          <w:szCs w:val="24"/>
        </w:rPr>
        <w:t xml:space="preserve">las mismas </w:t>
      </w:r>
      <w:r w:rsidR="00040C60" w:rsidRPr="00EB63D4">
        <w:rPr>
          <w:rFonts w:cstheme="minorHAnsi"/>
          <w:sz w:val="24"/>
          <w:szCs w:val="24"/>
        </w:rPr>
        <w:t>desempeñaron durante y en el advenimiento de los gobiernos dictator</w:t>
      </w:r>
      <w:r w:rsidRPr="00EB63D4">
        <w:rPr>
          <w:rFonts w:cstheme="minorHAnsi"/>
          <w:sz w:val="24"/>
          <w:szCs w:val="24"/>
        </w:rPr>
        <w:t>iales en la región</w:t>
      </w:r>
      <w:r w:rsidR="00AC3014" w:rsidRPr="00EB63D4">
        <w:rPr>
          <w:rFonts w:cstheme="minorHAnsi"/>
          <w:sz w:val="24"/>
          <w:szCs w:val="24"/>
        </w:rPr>
        <w:t>.</w:t>
      </w:r>
    </w:p>
    <w:p w:rsidR="00040C60" w:rsidRPr="00EB63D4" w:rsidRDefault="00040C60" w:rsidP="00040C60">
      <w:pPr>
        <w:pStyle w:val="Standard"/>
        <w:jc w:val="both"/>
        <w:rPr>
          <w:rFonts w:asciiTheme="minorHAnsi" w:hAnsiTheme="minorHAnsi" w:cstheme="minorHAnsi"/>
        </w:rPr>
      </w:pPr>
      <w:r w:rsidRPr="00EB63D4">
        <w:rPr>
          <w:rFonts w:asciiTheme="minorHAnsi" w:hAnsiTheme="minorHAnsi" w:cstheme="minorHAnsi"/>
        </w:rPr>
        <w:t>Ese impulso dio lugar a diversas iniciativas en Naciones Unidas para establecer</w:t>
      </w:r>
      <w:r w:rsidR="00AC3014" w:rsidRPr="00EB63D4">
        <w:rPr>
          <w:rFonts w:asciiTheme="minorHAnsi" w:hAnsiTheme="minorHAnsi" w:cstheme="minorHAnsi"/>
        </w:rPr>
        <w:t>,</w:t>
      </w:r>
      <w:r w:rsidRPr="00EB63D4">
        <w:rPr>
          <w:rFonts w:asciiTheme="minorHAnsi" w:hAnsiTheme="minorHAnsi" w:cstheme="minorHAnsi"/>
        </w:rPr>
        <w:t xml:space="preserve"> en el derecho internacional de los derechos humanos</w:t>
      </w:r>
      <w:r w:rsidR="00AC3014" w:rsidRPr="00EB63D4">
        <w:rPr>
          <w:rFonts w:asciiTheme="minorHAnsi" w:hAnsiTheme="minorHAnsi" w:cstheme="minorHAnsi"/>
        </w:rPr>
        <w:t>,</w:t>
      </w:r>
      <w:r w:rsidRPr="00EB63D4">
        <w:rPr>
          <w:rFonts w:asciiTheme="minorHAnsi" w:hAnsiTheme="minorHAnsi" w:cstheme="minorHAnsi"/>
        </w:rPr>
        <w:t xml:space="preserve"> las obligaciones de las empresas t</w:t>
      </w:r>
      <w:r w:rsidR="00AC3014" w:rsidRPr="00EB63D4">
        <w:rPr>
          <w:rFonts w:asciiTheme="minorHAnsi" w:hAnsiTheme="minorHAnsi" w:cstheme="minorHAnsi"/>
        </w:rPr>
        <w:t xml:space="preserve">ransnacionales con respecto a </w:t>
      </w:r>
      <w:r w:rsidRPr="00EB63D4">
        <w:rPr>
          <w:rFonts w:asciiTheme="minorHAnsi" w:hAnsiTheme="minorHAnsi" w:cstheme="minorHAnsi"/>
        </w:rPr>
        <w:t xml:space="preserve">los derechos humanos, ninguna de las cuales prosperó. </w:t>
      </w:r>
    </w:p>
    <w:p w:rsidR="00040C60" w:rsidRPr="00EB63D4" w:rsidRDefault="00040C60" w:rsidP="00040C60">
      <w:pPr>
        <w:pStyle w:val="Standard"/>
        <w:jc w:val="both"/>
        <w:rPr>
          <w:rFonts w:asciiTheme="minorHAnsi" w:hAnsiTheme="minorHAnsi" w:cstheme="minorHAnsi"/>
        </w:rPr>
      </w:pPr>
    </w:p>
    <w:p w:rsidR="00040C60" w:rsidRPr="00EB63D4" w:rsidRDefault="00AC3014" w:rsidP="00040C60">
      <w:pPr>
        <w:pStyle w:val="Standard"/>
        <w:jc w:val="both"/>
        <w:rPr>
          <w:rFonts w:asciiTheme="minorHAnsi" w:hAnsiTheme="minorHAnsi" w:cstheme="minorHAnsi"/>
          <w:color w:val="000000"/>
          <w:shd w:val="clear" w:color="auto" w:fill="FFFFFF"/>
        </w:rPr>
      </w:pPr>
      <w:r w:rsidRPr="00EB63D4">
        <w:rPr>
          <w:rFonts w:asciiTheme="minorHAnsi" w:hAnsiTheme="minorHAnsi" w:cstheme="minorHAnsi"/>
          <w:color w:val="000000"/>
          <w:shd w:val="clear" w:color="auto" w:fill="FFFFFF"/>
        </w:rPr>
        <w:t>Primeramente</w:t>
      </w:r>
      <w:r w:rsidR="00040C60" w:rsidRPr="00EB63D4">
        <w:rPr>
          <w:rFonts w:asciiTheme="minorHAnsi" w:hAnsiTheme="minorHAnsi" w:cstheme="minorHAnsi"/>
          <w:color w:val="000000"/>
          <w:shd w:val="clear" w:color="auto" w:fill="FFFFFF"/>
        </w:rPr>
        <w:t xml:space="preserve"> se estableció en la ONU una Comisión de Empresas Transnacionales  que convocó a un Grupo de Personas Eminentes, cuyo informe final dio origen en 1975 al Centro de las Naciones Unidas sobre Empresas Transnacionales </w:t>
      </w:r>
      <w:r w:rsidRPr="00EB63D4">
        <w:rPr>
          <w:rFonts w:asciiTheme="minorHAnsi" w:hAnsiTheme="minorHAnsi" w:cstheme="minorHAnsi"/>
          <w:color w:val="000000"/>
          <w:shd w:val="clear" w:color="auto" w:fill="FFFFFF"/>
        </w:rPr>
        <w:t>(UNCTC</w:t>
      </w:r>
      <w:r w:rsidR="00040C60" w:rsidRPr="00EB63D4">
        <w:rPr>
          <w:rFonts w:asciiTheme="minorHAnsi" w:hAnsiTheme="minorHAnsi" w:cstheme="minorHAnsi"/>
          <w:color w:val="000000"/>
          <w:shd w:val="clear" w:color="auto" w:fill="FFFFFF"/>
        </w:rPr>
        <w:t xml:space="preserve">), con el objetivo de monitorear la actuación de ese tipo de firmas, proveer información y asesoramiento. Esa Comisión de Empresas Transnacionales discutió durante </w:t>
      </w:r>
      <w:r w:rsidRPr="00EB63D4">
        <w:rPr>
          <w:rFonts w:asciiTheme="minorHAnsi" w:hAnsiTheme="minorHAnsi" w:cstheme="minorHAnsi"/>
          <w:color w:val="000000"/>
          <w:shd w:val="clear" w:color="auto" w:fill="FFFFFF"/>
        </w:rPr>
        <w:t xml:space="preserve">varios </w:t>
      </w:r>
      <w:r w:rsidR="00040C60" w:rsidRPr="00EB63D4">
        <w:rPr>
          <w:rFonts w:asciiTheme="minorHAnsi" w:hAnsiTheme="minorHAnsi" w:cstheme="minorHAnsi"/>
          <w:color w:val="000000"/>
          <w:shd w:val="clear" w:color="auto" w:fill="FFFFFF"/>
        </w:rPr>
        <w:t xml:space="preserve">años un Código de conducta de las Naciones Unidas para las Empresas Transnacionales (versión 1983 adjunta) que no prosperó, y tanto la Comisión como el Centro fueron cerrados en 1994 y 1993 respectivamente, por el influjo de las doctrinas </w:t>
      </w:r>
      <w:r w:rsidRPr="00EB63D4">
        <w:rPr>
          <w:rFonts w:asciiTheme="minorHAnsi" w:hAnsiTheme="minorHAnsi" w:cstheme="minorHAnsi"/>
          <w:color w:val="000000"/>
          <w:shd w:val="clear" w:color="auto" w:fill="FFFFFF"/>
        </w:rPr>
        <w:t>de promoción de inversiones transnacionales.</w:t>
      </w:r>
    </w:p>
    <w:p w:rsidR="00040C60" w:rsidRPr="00EB63D4" w:rsidRDefault="00040C60" w:rsidP="00040C60">
      <w:pPr>
        <w:pStyle w:val="Standard"/>
        <w:jc w:val="both"/>
        <w:rPr>
          <w:rFonts w:asciiTheme="minorHAnsi" w:hAnsiTheme="minorHAnsi" w:cstheme="minorHAnsi"/>
        </w:rPr>
      </w:pPr>
    </w:p>
    <w:p w:rsidR="00040C60" w:rsidRPr="00EB63D4" w:rsidRDefault="00AC3014" w:rsidP="00040C60">
      <w:pPr>
        <w:pStyle w:val="Standard"/>
        <w:jc w:val="both"/>
        <w:rPr>
          <w:rFonts w:asciiTheme="minorHAnsi" w:hAnsiTheme="minorHAnsi" w:cstheme="minorHAnsi"/>
        </w:rPr>
      </w:pPr>
      <w:r w:rsidRPr="00EB63D4">
        <w:rPr>
          <w:rFonts w:asciiTheme="minorHAnsi" w:hAnsiTheme="minorHAnsi" w:cstheme="minorHAnsi"/>
        </w:rPr>
        <w:t>Más adelante</w:t>
      </w:r>
      <w:r w:rsidR="00040C60" w:rsidRPr="00EB63D4">
        <w:rPr>
          <w:rFonts w:asciiTheme="minorHAnsi" w:hAnsiTheme="minorHAnsi" w:cstheme="minorHAnsi"/>
        </w:rPr>
        <w:t xml:space="preserve"> el Secretario General de la ONU</w:t>
      </w:r>
      <w:r w:rsidRPr="00EB63D4">
        <w:rPr>
          <w:rFonts w:asciiTheme="minorHAnsi" w:hAnsiTheme="minorHAnsi" w:cstheme="minorHAnsi"/>
        </w:rPr>
        <w:t>,</w:t>
      </w:r>
      <w:r w:rsidR="00040C60" w:rsidRPr="00EB63D4">
        <w:rPr>
          <w:rFonts w:asciiTheme="minorHAnsi" w:hAnsiTheme="minorHAnsi" w:cstheme="minorHAnsi"/>
        </w:rPr>
        <w:t xml:space="preserve"> </w:t>
      </w:r>
      <w:proofErr w:type="spellStart"/>
      <w:r w:rsidR="00040C60" w:rsidRPr="00EB63D4">
        <w:rPr>
          <w:rFonts w:asciiTheme="minorHAnsi" w:hAnsiTheme="minorHAnsi" w:cstheme="minorHAnsi"/>
        </w:rPr>
        <w:t>Koffi</w:t>
      </w:r>
      <w:proofErr w:type="spellEnd"/>
      <w:r w:rsidR="00040C60" w:rsidRPr="00EB63D4">
        <w:rPr>
          <w:rFonts w:asciiTheme="minorHAnsi" w:hAnsiTheme="minorHAnsi" w:cstheme="minorHAnsi"/>
        </w:rPr>
        <w:t xml:space="preserve"> Annan</w:t>
      </w:r>
      <w:r w:rsidR="00040C60" w:rsidRPr="00EB63D4">
        <w:rPr>
          <w:rFonts w:asciiTheme="minorHAnsi" w:hAnsiTheme="minorHAnsi" w:cstheme="minorHAnsi"/>
          <w:color w:val="000000"/>
          <w:shd w:val="clear" w:color="auto" w:fill="FFFFFF"/>
        </w:rPr>
        <w:t>, en una acción combinada con el Foro Económico Mundial, lanzó en 1999 el llamado Pacto Mundi</w:t>
      </w:r>
      <w:r w:rsidRPr="00EB63D4">
        <w:rPr>
          <w:rFonts w:asciiTheme="minorHAnsi" w:hAnsiTheme="minorHAnsi" w:cstheme="minorHAnsi"/>
          <w:color w:val="000000"/>
          <w:shd w:val="clear" w:color="auto" w:fill="FFFFFF"/>
        </w:rPr>
        <w:t>al (UN</w:t>
      </w:r>
      <w:r w:rsidR="00040C60" w:rsidRPr="00EB63D4">
        <w:rPr>
          <w:rFonts w:asciiTheme="minorHAnsi" w:hAnsiTheme="minorHAnsi" w:cstheme="minorHAnsi"/>
          <w:color w:val="000000"/>
          <w:shd w:val="clear" w:color="auto" w:fill="FFFFFF"/>
        </w:rPr>
        <w:t xml:space="preserve"> Global Compact), un conjunto de diez principios voluntarios sobre buenas prácticas empresariales en el ámbito internacional, que cubre las esferas de derechos humanos y patrones laborales, ambientales y anticorrupción. Más de 20 años después de su lanzamiento, el Pacto Global cuenta con adhesión de más de 12.000 empresas de 170 países, </w:t>
      </w:r>
      <w:r w:rsidR="00040C60" w:rsidRPr="00EB63D4">
        <w:rPr>
          <w:rFonts w:asciiTheme="minorHAnsi" w:hAnsiTheme="minorHAnsi" w:cstheme="minorHAnsi"/>
        </w:rPr>
        <w:t xml:space="preserve">pero eso no se </w:t>
      </w:r>
      <w:r w:rsidRPr="00EB63D4">
        <w:rPr>
          <w:rFonts w:asciiTheme="minorHAnsi" w:hAnsiTheme="minorHAnsi" w:cstheme="minorHAnsi"/>
        </w:rPr>
        <w:t>ha traducido en cambios efectivos</w:t>
      </w:r>
      <w:r w:rsidR="00040C60" w:rsidRPr="00EB63D4">
        <w:rPr>
          <w:rFonts w:asciiTheme="minorHAnsi" w:hAnsiTheme="minorHAnsi" w:cstheme="minorHAnsi"/>
        </w:rPr>
        <w:t xml:space="preserve"> en cuanto a la impunidad de las empresas </w:t>
      </w:r>
      <w:r w:rsidR="0045364B" w:rsidRPr="00EB63D4">
        <w:rPr>
          <w:rFonts w:asciiTheme="minorHAnsi" w:hAnsiTheme="minorHAnsi" w:cstheme="minorHAnsi"/>
        </w:rPr>
        <w:t>ante</w:t>
      </w:r>
      <w:r w:rsidRPr="00EB63D4">
        <w:rPr>
          <w:rFonts w:asciiTheme="minorHAnsi" w:hAnsiTheme="minorHAnsi" w:cstheme="minorHAnsi"/>
        </w:rPr>
        <w:t xml:space="preserve"> violaciones de</w:t>
      </w:r>
      <w:r w:rsidR="00040C60" w:rsidRPr="00EB63D4">
        <w:rPr>
          <w:rFonts w:asciiTheme="minorHAnsi" w:hAnsiTheme="minorHAnsi" w:cstheme="minorHAnsi"/>
        </w:rPr>
        <w:t xml:space="preserve"> derechos humanos.</w:t>
      </w:r>
    </w:p>
    <w:p w:rsidR="00040C60" w:rsidRPr="00EB63D4" w:rsidRDefault="00040C60" w:rsidP="00040C60">
      <w:pPr>
        <w:pStyle w:val="Standard"/>
        <w:jc w:val="both"/>
        <w:rPr>
          <w:rFonts w:asciiTheme="minorHAnsi" w:hAnsiTheme="minorHAnsi" w:cstheme="minorHAnsi"/>
        </w:rPr>
      </w:pPr>
    </w:p>
    <w:p w:rsidR="00040C60" w:rsidRPr="00EB63D4" w:rsidRDefault="00040C60" w:rsidP="00040C60">
      <w:pPr>
        <w:pStyle w:val="Standard"/>
        <w:jc w:val="both"/>
        <w:rPr>
          <w:rFonts w:asciiTheme="minorHAnsi" w:hAnsiTheme="minorHAnsi" w:cstheme="minorHAnsi"/>
        </w:rPr>
      </w:pPr>
      <w:r w:rsidRPr="00EB63D4">
        <w:rPr>
          <w:rFonts w:asciiTheme="minorHAnsi" w:hAnsiTheme="minorHAnsi" w:cstheme="minorHAnsi"/>
        </w:rPr>
        <w:t>Paralelamente, en la Subcomisión de Promoción y Protección de los Derechos Humanos, de la Comisión de Derechos Humanos de la ONU, se empezaron a discutir Normas sobre las Responsabilidades de las Empresas Transnacionales y Otras Empresas Comerciales en la esfera de los Derechos Humanos (</w:t>
      </w:r>
      <w:r w:rsidRPr="00EB63D4">
        <w:rPr>
          <w:rStyle w:val="nfasis"/>
          <w:rFonts w:asciiTheme="minorHAnsi" w:hAnsiTheme="minorHAnsi" w:cstheme="minorHAnsi"/>
          <w:color w:val="111827"/>
          <w:shd w:val="clear" w:color="auto" w:fill="FFFFFF"/>
        </w:rPr>
        <w:t xml:space="preserve">E_CN.4_Sub.2_2003_12_Rev.2-ES, en </w:t>
      </w:r>
      <w:hyperlink r:id="rId9" w:history="1">
        <w:r w:rsidRPr="00EB63D4">
          <w:rPr>
            <w:rStyle w:val="Hipervnculo"/>
            <w:rFonts w:asciiTheme="minorHAnsi" w:hAnsiTheme="minorHAnsi" w:cstheme="minorHAnsi"/>
            <w:shd w:val="clear" w:color="auto" w:fill="FFFFFF"/>
          </w:rPr>
          <w:t>https://digitallibrary.un.org/record/501576?ln=en</w:t>
        </w:r>
      </w:hyperlink>
      <w:r w:rsidRPr="00EB63D4">
        <w:rPr>
          <w:rStyle w:val="nfasis"/>
          <w:rFonts w:asciiTheme="minorHAnsi" w:hAnsiTheme="minorHAnsi" w:cstheme="minorHAnsi"/>
          <w:color w:val="111827"/>
          <w:shd w:val="clear" w:color="auto" w:fill="FFFFFF"/>
        </w:rPr>
        <w:t xml:space="preserve">) que fueron aprobadas el 13 de agosto de 2003 </w:t>
      </w:r>
      <w:r w:rsidRPr="00EB63D4">
        <w:rPr>
          <w:rFonts w:asciiTheme="minorHAnsi" w:hAnsiTheme="minorHAnsi" w:cstheme="minorHAnsi"/>
        </w:rPr>
        <w:t>en su 22º período de sesiones. Sin embargo, la adopción de estas normas vinculantes en la Comisión de DDHH fue abortada por la injerencia de los mismos intereses empresariales transnacionales que años antes había intercedido para cerrar el Centro y la Comisión de empresas transnacionales.</w:t>
      </w:r>
    </w:p>
    <w:p w:rsidR="00040C60" w:rsidRPr="00EB63D4" w:rsidRDefault="00040C60" w:rsidP="00040C60">
      <w:pPr>
        <w:pStyle w:val="Standard"/>
        <w:jc w:val="both"/>
        <w:rPr>
          <w:rFonts w:asciiTheme="minorHAnsi" w:hAnsiTheme="minorHAnsi" w:cstheme="minorHAnsi"/>
        </w:rPr>
      </w:pPr>
    </w:p>
    <w:p w:rsidR="00040C60" w:rsidRPr="00EB63D4" w:rsidRDefault="00040C60" w:rsidP="00040C60">
      <w:pPr>
        <w:pStyle w:val="Standard"/>
        <w:jc w:val="both"/>
        <w:rPr>
          <w:rFonts w:asciiTheme="minorHAnsi" w:hAnsiTheme="minorHAnsi" w:cstheme="minorHAnsi"/>
        </w:rPr>
      </w:pPr>
      <w:r w:rsidRPr="00EB63D4">
        <w:rPr>
          <w:rFonts w:asciiTheme="minorHAnsi" w:hAnsiTheme="minorHAnsi" w:cstheme="minorHAnsi"/>
        </w:rPr>
        <w:t xml:space="preserve">En 2005, </w:t>
      </w:r>
      <w:proofErr w:type="spellStart"/>
      <w:r w:rsidRPr="00EB63D4">
        <w:rPr>
          <w:rFonts w:asciiTheme="minorHAnsi" w:hAnsiTheme="minorHAnsi" w:cstheme="minorHAnsi"/>
        </w:rPr>
        <w:t>Koffi</w:t>
      </w:r>
      <w:proofErr w:type="spellEnd"/>
      <w:r w:rsidRPr="00EB63D4">
        <w:rPr>
          <w:rFonts w:asciiTheme="minorHAnsi" w:hAnsiTheme="minorHAnsi" w:cstheme="minorHAnsi"/>
        </w:rPr>
        <w:t xml:space="preserve"> Annan </w:t>
      </w:r>
      <w:r w:rsidR="00FA1CE6" w:rsidRPr="00EB63D4">
        <w:rPr>
          <w:rFonts w:asciiTheme="minorHAnsi" w:hAnsiTheme="minorHAnsi" w:cstheme="minorHAnsi"/>
        </w:rPr>
        <w:t>designó a un</w:t>
      </w:r>
      <w:r w:rsidRPr="00EB63D4">
        <w:rPr>
          <w:rFonts w:asciiTheme="minorHAnsi" w:hAnsiTheme="minorHAnsi" w:cstheme="minorHAnsi"/>
        </w:rPr>
        <w:t xml:space="preserve"> Representante Especial del Secretario General de la ONU para las Empresas y los Derechos Humanos. </w:t>
      </w:r>
      <w:r w:rsidR="00FA1CE6" w:rsidRPr="00EB63D4">
        <w:rPr>
          <w:rFonts w:asciiTheme="minorHAnsi" w:hAnsiTheme="minorHAnsi" w:cstheme="minorHAnsi"/>
        </w:rPr>
        <w:t>De esta manera se elaboraron</w:t>
      </w:r>
      <w:r w:rsidRPr="00EB63D4">
        <w:rPr>
          <w:rFonts w:asciiTheme="minorHAnsi" w:hAnsiTheme="minorHAnsi" w:cstheme="minorHAnsi"/>
        </w:rPr>
        <w:t xml:space="preserve"> </w:t>
      </w:r>
      <w:r w:rsidR="00FA1CE6" w:rsidRPr="00EB63D4">
        <w:rPr>
          <w:rFonts w:asciiTheme="minorHAnsi" w:hAnsiTheme="minorHAnsi" w:cstheme="minorHAnsi"/>
        </w:rPr>
        <w:t xml:space="preserve">los Principios Rectores de la ONU sobre las Empresas y los Derechos Humanos, </w:t>
      </w:r>
      <w:r w:rsidRPr="00EB63D4">
        <w:rPr>
          <w:rFonts w:asciiTheme="minorHAnsi" w:hAnsiTheme="minorHAnsi" w:cstheme="minorHAnsi"/>
        </w:rPr>
        <w:t>un conjunto de principios de aplicación voluntaria que el Consejo de Derechos Humanos de la ONU aprobó por unanimidad en 2011</w:t>
      </w:r>
      <w:r w:rsidR="0045364B" w:rsidRPr="00EB63D4">
        <w:rPr>
          <w:rFonts w:asciiTheme="minorHAnsi" w:hAnsiTheme="minorHAnsi" w:cstheme="minorHAnsi"/>
        </w:rPr>
        <w:t>,</w:t>
      </w:r>
      <w:r w:rsidRPr="00EB63D4">
        <w:rPr>
          <w:rFonts w:asciiTheme="minorHAnsi" w:hAnsiTheme="minorHAnsi" w:cstheme="minorHAnsi"/>
        </w:rPr>
        <w:t xml:space="preserve"> durante la Presidencia por parte de Uruguay en el Consejo de Derechos Humanos. </w:t>
      </w:r>
    </w:p>
    <w:p w:rsidR="00FA1CE6" w:rsidRPr="00EB63D4" w:rsidRDefault="00FA1CE6" w:rsidP="00040C60">
      <w:pPr>
        <w:pStyle w:val="Standard"/>
        <w:jc w:val="both"/>
        <w:rPr>
          <w:rFonts w:asciiTheme="minorHAnsi" w:hAnsiTheme="minorHAnsi" w:cstheme="minorHAnsi"/>
        </w:rPr>
      </w:pPr>
    </w:p>
    <w:p w:rsidR="000375CB" w:rsidRPr="00EB63D4" w:rsidRDefault="000375CB" w:rsidP="00040C60">
      <w:pPr>
        <w:pStyle w:val="Standard"/>
        <w:jc w:val="both"/>
        <w:rPr>
          <w:rFonts w:asciiTheme="minorHAnsi" w:hAnsiTheme="minorHAnsi" w:cstheme="minorHAnsi"/>
        </w:rPr>
      </w:pPr>
      <w:r w:rsidRPr="00EB63D4">
        <w:rPr>
          <w:rFonts w:asciiTheme="minorHAnsi" w:hAnsiTheme="minorHAnsi" w:cstheme="minorHAnsi"/>
        </w:rPr>
        <w:t xml:space="preserve">En 2013 se desarrolló </w:t>
      </w:r>
      <w:r w:rsidR="00040C60" w:rsidRPr="00EB63D4">
        <w:rPr>
          <w:rFonts w:asciiTheme="minorHAnsi" w:hAnsiTheme="minorHAnsi" w:cstheme="minorHAnsi"/>
        </w:rPr>
        <w:t xml:space="preserve">el 1er Foro Regional de América Latina y el Caribe sobre Empresas y DDHH, </w:t>
      </w:r>
      <w:r w:rsidRPr="00EB63D4">
        <w:rPr>
          <w:rFonts w:asciiTheme="minorHAnsi" w:hAnsiTheme="minorHAnsi" w:cstheme="minorHAnsi"/>
        </w:rPr>
        <w:t xml:space="preserve">organizado </w:t>
      </w:r>
      <w:r w:rsidR="00040C60" w:rsidRPr="00EB63D4">
        <w:rPr>
          <w:rFonts w:asciiTheme="minorHAnsi" w:hAnsiTheme="minorHAnsi" w:cstheme="minorHAnsi"/>
        </w:rPr>
        <w:t xml:space="preserve">por el Grupo de Trabajo </w:t>
      </w:r>
      <w:r w:rsidRPr="00EB63D4">
        <w:rPr>
          <w:rFonts w:asciiTheme="minorHAnsi" w:hAnsiTheme="minorHAnsi" w:cstheme="minorHAnsi"/>
        </w:rPr>
        <w:t xml:space="preserve">de Naciones Unidas sobre Empresas y DDHH. Desde organizaciones de la sociedad civil se plantearon críticas al alcance de los Principios Rectores y se reclamaron </w:t>
      </w:r>
      <w:r w:rsidR="00040C60" w:rsidRPr="00EB63D4">
        <w:rPr>
          <w:rFonts w:asciiTheme="minorHAnsi" w:hAnsiTheme="minorHAnsi" w:cstheme="minorHAnsi"/>
        </w:rPr>
        <w:t xml:space="preserve">normas vinculantes para terminar </w:t>
      </w:r>
      <w:r w:rsidR="00040C60" w:rsidRPr="00EB63D4">
        <w:rPr>
          <w:rFonts w:asciiTheme="minorHAnsi" w:hAnsiTheme="minorHAnsi" w:cstheme="minorHAnsi"/>
        </w:rPr>
        <w:lastRenderedPageBreak/>
        <w:t xml:space="preserve">con la impunidad de </w:t>
      </w:r>
      <w:r w:rsidRPr="00EB63D4">
        <w:rPr>
          <w:rFonts w:asciiTheme="minorHAnsi" w:hAnsiTheme="minorHAnsi" w:cstheme="minorHAnsi"/>
        </w:rPr>
        <w:t>las empresas transnacionales. Los</w:t>
      </w:r>
      <w:r w:rsidR="00040C60" w:rsidRPr="00EB63D4">
        <w:rPr>
          <w:rFonts w:asciiTheme="minorHAnsi" w:hAnsiTheme="minorHAnsi" w:cstheme="minorHAnsi"/>
        </w:rPr>
        <w:t xml:space="preserve"> gobierno</w:t>
      </w:r>
      <w:r w:rsidRPr="00EB63D4">
        <w:rPr>
          <w:rFonts w:asciiTheme="minorHAnsi" w:hAnsiTheme="minorHAnsi" w:cstheme="minorHAnsi"/>
        </w:rPr>
        <w:t>s</w:t>
      </w:r>
      <w:r w:rsidR="00040C60" w:rsidRPr="00EB63D4">
        <w:rPr>
          <w:rFonts w:asciiTheme="minorHAnsi" w:hAnsiTheme="minorHAnsi" w:cstheme="minorHAnsi"/>
        </w:rPr>
        <w:t xml:space="preserve"> de Ecuador y Sudáfrica</w:t>
      </w:r>
      <w:r w:rsidRPr="00EB63D4">
        <w:rPr>
          <w:rFonts w:asciiTheme="minorHAnsi" w:hAnsiTheme="minorHAnsi" w:cstheme="minorHAnsi"/>
        </w:rPr>
        <w:t xml:space="preserve"> de ese momento,</w:t>
      </w:r>
      <w:r w:rsidR="00040C60" w:rsidRPr="00EB63D4">
        <w:rPr>
          <w:rFonts w:asciiTheme="minorHAnsi" w:hAnsiTheme="minorHAnsi" w:cstheme="minorHAnsi"/>
        </w:rPr>
        <w:t xml:space="preserve"> </w:t>
      </w:r>
      <w:r w:rsidRPr="00EB63D4">
        <w:rPr>
          <w:rFonts w:asciiTheme="minorHAnsi" w:hAnsiTheme="minorHAnsi" w:cstheme="minorHAnsi"/>
        </w:rPr>
        <w:t>recogieron dicha iniciativa</w:t>
      </w:r>
      <w:r w:rsidR="00040C60" w:rsidRPr="00EB63D4">
        <w:rPr>
          <w:rFonts w:asciiTheme="minorHAnsi" w:hAnsiTheme="minorHAnsi" w:cstheme="minorHAnsi"/>
        </w:rPr>
        <w:t xml:space="preserve"> e impulsaron</w:t>
      </w:r>
      <w:r w:rsidRPr="00EB63D4">
        <w:rPr>
          <w:rFonts w:asciiTheme="minorHAnsi" w:hAnsiTheme="minorHAnsi" w:cstheme="minorHAnsi"/>
        </w:rPr>
        <w:t xml:space="preserve"> el tema. </w:t>
      </w:r>
    </w:p>
    <w:p w:rsidR="000375CB" w:rsidRPr="00EB63D4" w:rsidRDefault="000375CB" w:rsidP="00040C60">
      <w:pPr>
        <w:pStyle w:val="Standard"/>
        <w:jc w:val="both"/>
        <w:rPr>
          <w:rFonts w:asciiTheme="minorHAnsi" w:hAnsiTheme="minorHAnsi" w:cstheme="minorHAnsi"/>
        </w:rPr>
      </w:pPr>
    </w:p>
    <w:p w:rsidR="00B56ADC" w:rsidRPr="00EB63D4" w:rsidRDefault="000375CB" w:rsidP="00040C60">
      <w:pPr>
        <w:pStyle w:val="Standard"/>
        <w:jc w:val="both"/>
        <w:rPr>
          <w:rFonts w:asciiTheme="minorHAnsi" w:hAnsiTheme="minorHAnsi" w:cstheme="minorHAnsi"/>
        </w:rPr>
      </w:pPr>
      <w:r w:rsidRPr="00EB63D4">
        <w:rPr>
          <w:rFonts w:asciiTheme="minorHAnsi" w:hAnsiTheme="minorHAnsi" w:cstheme="minorHAnsi"/>
        </w:rPr>
        <w:t>De esta forma,</w:t>
      </w:r>
      <w:r w:rsidR="00040C60" w:rsidRPr="00EB63D4">
        <w:rPr>
          <w:rFonts w:asciiTheme="minorHAnsi" w:hAnsiTheme="minorHAnsi" w:cstheme="minorHAnsi"/>
        </w:rPr>
        <w:t xml:space="preserve"> la Resolución 26/9 del Consejo de Derechos Humanos de la ONU, aprobada en 2014, estableció </w:t>
      </w:r>
      <w:r w:rsidRPr="00EB63D4">
        <w:rPr>
          <w:rFonts w:asciiTheme="minorHAnsi" w:hAnsiTheme="minorHAnsi" w:cstheme="minorHAnsi"/>
        </w:rPr>
        <w:t xml:space="preserve">la creación de </w:t>
      </w:r>
      <w:r w:rsidR="00040C60" w:rsidRPr="00EB63D4">
        <w:rPr>
          <w:rFonts w:asciiTheme="minorHAnsi" w:hAnsiTheme="minorHAnsi" w:cstheme="minorHAnsi"/>
        </w:rPr>
        <w:t xml:space="preserve">un </w:t>
      </w:r>
      <w:r w:rsidRPr="00EB63D4">
        <w:rPr>
          <w:rFonts w:asciiTheme="minorHAnsi" w:hAnsiTheme="minorHAnsi" w:cstheme="minorHAnsi"/>
        </w:rPr>
        <w:t>G</w:t>
      </w:r>
      <w:r w:rsidR="00040C60" w:rsidRPr="00EB63D4">
        <w:rPr>
          <w:rFonts w:asciiTheme="minorHAnsi" w:hAnsiTheme="minorHAnsi" w:cstheme="minorHAnsi"/>
        </w:rPr>
        <w:t xml:space="preserve">rupo </w:t>
      </w:r>
      <w:r w:rsidRPr="00EB63D4">
        <w:rPr>
          <w:rFonts w:asciiTheme="minorHAnsi" w:hAnsiTheme="minorHAnsi" w:cstheme="minorHAnsi"/>
        </w:rPr>
        <w:t>I</w:t>
      </w:r>
      <w:r w:rsidR="00040C60" w:rsidRPr="00EB63D4">
        <w:rPr>
          <w:rFonts w:asciiTheme="minorHAnsi" w:hAnsiTheme="minorHAnsi" w:cstheme="minorHAnsi"/>
        </w:rPr>
        <w:t>ntergubernamental de trabajo de composición abierta</w:t>
      </w:r>
      <w:r w:rsidR="00B56ADC" w:rsidRPr="00EB63D4">
        <w:rPr>
          <w:rFonts w:asciiTheme="minorHAnsi" w:hAnsiTheme="minorHAnsi" w:cstheme="minorHAnsi"/>
        </w:rPr>
        <w:t>,</w:t>
      </w:r>
      <w:r w:rsidR="00040C60" w:rsidRPr="00EB63D4">
        <w:rPr>
          <w:rFonts w:asciiTheme="minorHAnsi" w:hAnsiTheme="minorHAnsi" w:cstheme="minorHAnsi"/>
        </w:rPr>
        <w:t xml:space="preserve"> con el mandato de negociar y acordar un instrumento internacional jurídicamente vinculante para “regular </w:t>
      </w:r>
      <w:r w:rsidR="00040C60" w:rsidRPr="00EB63D4">
        <w:rPr>
          <w:rFonts w:asciiTheme="minorHAnsi" w:hAnsiTheme="minorHAnsi" w:cstheme="minorHAnsi"/>
          <w:shd w:val="clear" w:color="auto" w:fill="FFFFFF"/>
        </w:rPr>
        <w:t>las actividades de las empresas transnacionales y otras empresas en el derecho internacional de los derechos humanos”.</w:t>
      </w:r>
      <w:r w:rsidR="00B56ADC" w:rsidRPr="00EB63D4">
        <w:rPr>
          <w:rFonts w:asciiTheme="minorHAnsi" w:hAnsiTheme="minorHAnsi" w:cstheme="minorHAnsi"/>
        </w:rPr>
        <w:t xml:space="preserve"> Ese Grupo</w:t>
      </w:r>
      <w:r w:rsidR="00040C60" w:rsidRPr="00EB63D4">
        <w:rPr>
          <w:rFonts w:asciiTheme="minorHAnsi" w:hAnsiTheme="minorHAnsi" w:cstheme="minorHAnsi"/>
        </w:rPr>
        <w:t xml:space="preserve"> ha celebrado 7 s</w:t>
      </w:r>
      <w:r w:rsidR="00B56ADC" w:rsidRPr="00EB63D4">
        <w:rPr>
          <w:rFonts w:asciiTheme="minorHAnsi" w:hAnsiTheme="minorHAnsi" w:cstheme="minorHAnsi"/>
        </w:rPr>
        <w:t>esiones de una semana cada año.</w:t>
      </w:r>
    </w:p>
    <w:p w:rsidR="00B56ADC" w:rsidRPr="00EB63D4" w:rsidRDefault="00B56ADC" w:rsidP="00040C60">
      <w:pPr>
        <w:pStyle w:val="Standard"/>
        <w:jc w:val="both"/>
        <w:rPr>
          <w:rFonts w:asciiTheme="minorHAnsi" w:hAnsiTheme="minorHAnsi" w:cstheme="minorHAnsi"/>
        </w:rPr>
      </w:pPr>
    </w:p>
    <w:p w:rsidR="00B56ADC" w:rsidRPr="00EB63D4" w:rsidRDefault="00DF51E3" w:rsidP="00040C60">
      <w:pPr>
        <w:pStyle w:val="Standard"/>
        <w:jc w:val="both"/>
        <w:rPr>
          <w:rFonts w:asciiTheme="minorHAnsi" w:hAnsiTheme="minorHAnsi" w:cstheme="minorHAnsi"/>
        </w:rPr>
      </w:pPr>
      <w:r w:rsidRPr="00EB63D4">
        <w:rPr>
          <w:rFonts w:asciiTheme="minorHAnsi" w:hAnsiTheme="minorHAnsi" w:cstheme="minorHAnsi"/>
        </w:rPr>
        <w:t xml:space="preserve">De esta manera en 2017 se publicó el primer texto de Elementos para un Tratado Vinculante, que recogía los elementos centrales fundantes del mandato de la Resolución 26/9 y los reclamos de las organizaciones de afectadas y afectados por violaciones de derechos humanos por empresas transnacionales. </w:t>
      </w:r>
    </w:p>
    <w:p w:rsidR="00DF51E3" w:rsidRPr="00EB63D4" w:rsidRDefault="00DF51E3" w:rsidP="00040C60">
      <w:pPr>
        <w:pStyle w:val="Standard"/>
        <w:jc w:val="both"/>
        <w:rPr>
          <w:rFonts w:asciiTheme="minorHAnsi" w:hAnsiTheme="minorHAnsi" w:cstheme="minorHAnsi"/>
        </w:rPr>
      </w:pPr>
    </w:p>
    <w:p w:rsidR="00DF51E3" w:rsidRPr="00EB63D4" w:rsidRDefault="00DF51E3" w:rsidP="00040C60">
      <w:pPr>
        <w:pStyle w:val="Standard"/>
        <w:jc w:val="both"/>
        <w:rPr>
          <w:rFonts w:asciiTheme="minorHAnsi" w:hAnsiTheme="minorHAnsi" w:cstheme="minorHAnsi"/>
        </w:rPr>
      </w:pPr>
      <w:r w:rsidRPr="00EB63D4">
        <w:rPr>
          <w:rFonts w:asciiTheme="minorHAnsi" w:hAnsiTheme="minorHAnsi" w:cstheme="minorHAnsi"/>
        </w:rPr>
        <w:t xml:space="preserve">En 2018 se emitió un “Borrador Cero”, a partir del cual se amplió el alcance a ‘todas las empresas’ (no solamente las transnacionales). </w:t>
      </w:r>
    </w:p>
    <w:p w:rsidR="00BE0707" w:rsidRPr="00EB63D4" w:rsidRDefault="00BE0707" w:rsidP="00040C60">
      <w:pPr>
        <w:pStyle w:val="Standard"/>
        <w:jc w:val="both"/>
        <w:rPr>
          <w:rFonts w:asciiTheme="minorHAnsi" w:hAnsiTheme="minorHAnsi" w:cstheme="minorHAnsi"/>
        </w:rPr>
      </w:pPr>
    </w:p>
    <w:p w:rsidR="00BE0707" w:rsidRPr="00EB63D4" w:rsidRDefault="00BE0707" w:rsidP="00040C60">
      <w:pPr>
        <w:pStyle w:val="Standard"/>
        <w:jc w:val="both"/>
        <w:rPr>
          <w:rFonts w:asciiTheme="minorHAnsi" w:hAnsiTheme="minorHAnsi" w:cstheme="minorHAnsi"/>
        </w:rPr>
      </w:pPr>
      <w:r w:rsidRPr="00EB63D4">
        <w:rPr>
          <w:rFonts w:asciiTheme="minorHAnsi" w:hAnsiTheme="minorHAnsi" w:cstheme="minorHAnsi"/>
        </w:rPr>
        <w:t>Todos estos procesos se han dado junto con presiones y oposiciones por parte de grupos empresariales mundiales, así como de los principales países sede de las casas matrices de las principales empresas transnacionales.</w:t>
      </w:r>
    </w:p>
    <w:p w:rsidR="00DF51E3" w:rsidRPr="00EB63D4" w:rsidRDefault="00DF51E3" w:rsidP="00040C60">
      <w:pPr>
        <w:pStyle w:val="Standard"/>
        <w:jc w:val="both"/>
        <w:rPr>
          <w:rFonts w:asciiTheme="minorHAnsi" w:hAnsiTheme="minorHAnsi" w:cstheme="minorHAnsi"/>
        </w:rPr>
      </w:pPr>
    </w:p>
    <w:p w:rsidR="00262F84" w:rsidRPr="00EB63D4" w:rsidRDefault="00262F84" w:rsidP="00040C60">
      <w:pPr>
        <w:pStyle w:val="Standard"/>
        <w:jc w:val="both"/>
        <w:rPr>
          <w:rFonts w:asciiTheme="minorHAnsi" w:hAnsiTheme="minorHAnsi" w:cstheme="minorHAnsi"/>
        </w:rPr>
      </w:pPr>
      <w:r w:rsidRPr="00EB63D4">
        <w:rPr>
          <w:rFonts w:asciiTheme="minorHAnsi" w:hAnsiTheme="minorHAnsi" w:cstheme="minorHAnsi"/>
        </w:rPr>
        <w:t xml:space="preserve">El Tercer Borrador revisado, emanado de la sesión de 2021, habilitó por primera vez que en el texto se incluyeran las distintas propuestas </w:t>
      </w:r>
      <w:r w:rsidR="00BE0707" w:rsidRPr="00EB63D4">
        <w:rPr>
          <w:rFonts w:asciiTheme="minorHAnsi" w:hAnsiTheme="minorHAnsi" w:cstheme="minorHAnsi"/>
        </w:rPr>
        <w:t>de las</w:t>
      </w:r>
      <w:r w:rsidRPr="00EB63D4">
        <w:rPr>
          <w:rFonts w:asciiTheme="minorHAnsi" w:hAnsiTheme="minorHAnsi" w:cstheme="minorHAnsi"/>
        </w:rPr>
        <w:t xml:space="preserve"> delegaciones gubernamentales frente al articulado, lo que permitió que muchas de las propuestas originales vuelvan a estar en discusión. Asimismo, la Presidencia del Grupo de Trabajo se comprometió a realizar consultas informales a los efectos de zanjar diferencias.</w:t>
      </w:r>
    </w:p>
    <w:p w:rsidR="00262F84" w:rsidRPr="00EB63D4" w:rsidRDefault="00262F84" w:rsidP="00040C60">
      <w:pPr>
        <w:pStyle w:val="Standard"/>
        <w:jc w:val="both"/>
        <w:rPr>
          <w:rFonts w:asciiTheme="minorHAnsi" w:hAnsiTheme="minorHAnsi" w:cstheme="minorHAnsi"/>
        </w:rPr>
      </w:pPr>
    </w:p>
    <w:p w:rsidR="00262F84" w:rsidRPr="00EB63D4" w:rsidRDefault="00262F84" w:rsidP="00040C60">
      <w:pPr>
        <w:pStyle w:val="Standard"/>
        <w:jc w:val="both"/>
        <w:rPr>
          <w:rFonts w:asciiTheme="minorHAnsi" w:hAnsiTheme="minorHAnsi" w:cstheme="minorHAnsi"/>
        </w:rPr>
      </w:pPr>
      <w:r w:rsidRPr="00EB63D4">
        <w:rPr>
          <w:rFonts w:asciiTheme="minorHAnsi" w:hAnsiTheme="minorHAnsi" w:cstheme="minorHAnsi"/>
        </w:rPr>
        <w:t>En ese marco la próxima sesión del Grupo Intergubernamental de trabajo de composición abierta, a realizarse en octu</w:t>
      </w:r>
      <w:r w:rsidR="00521CDB" w:rsidRPr="00EB63D4">
        <w:rPr>
          <w:rFonts w:asciiTheme="minorHAnsi" w:hAnsiTheme="minorHAnsi" w:cstheme="minorHAnsi"/>
        </w:rPr>
        <w:t xml:space="preserve">bre de 2022, constituye un momento clave </w:t>
      </w:r>
      <w:r w:rsidRPr="00EB63D4">
        <w:rPr>
          <w:rFonts w:asciiTheme="minorHAnsi" w:hAnsiTheme="minorHAnsi" w:cstheme="minorHAnsi"/>
        </w:rPr>
        <w:t>para que los distintos Estados puedan tomar posición frente al tema.</w:t>
      </w:r>
    </w:p>
    <w:p w:rsidR="00521CDB" w:rsidRPr="00EB63D4" w:rsidRDefault="00521CDB" w:rsidP="00040C60">
      <w:pPr>
        <w:pStyle w:val="Standard"/>
        <w:jc w:val="both"/>
        <w:rPr>
          <w:rFonts w:asciiTheme="minorHAnsi" w:hAnsiTheme="minorHAnsi" w:cstheme="minorHAnsi"/>
        </w:rPr>
      </w:pPr>
    </w:p>
    <w:p w:rsidR="0098574B" w:rsidRPr="00EB63D4" w:rsidRDefault="0098574B">
      <w:pPr>
        <w:rPr>
          <w:rFonts w:cstheme="minorHAnsi"/>
          <w:b/>
          <w:sz w:val="24"/>
          <w:szCs w:val="24"/>
          <w:u w:val="single"/>
        </w:rPr>
      </w:pPr>
    </w:p>
    <w:p w:rsidR="00EB63D4" w:rsidRDefault="00EB63D4">
      <w:pPr>
        <w:rPr>
          <w:rFonts w:cstheme="minorHAnsi"/>
          <w:b/>
          <w:sz w:val="24"/>
          <w:szCs w:val="24"/>
          <w:u w:val="single"/>
        </w:rPr>
      </w:pPr>
      <w:r>
        <w:rPr>
          <w:rFonts w:cstheme="minorHAnsi"/>
          <w:b/>
          <w:sz w:val="24"/>
          <w:szCs w:val="24"/>
          <w:u w:val="single"/>
        </w:rPr>
        <w:br w:type="page"/>
      </w:r>
    </w:p>
    <w:p w:rsidR="00040C60" w:rsidRPr="00EB63D4" w:rsidRDefault="00040C60">
      <w:pPr>
        <w:rPr>
          <w:rFonts w:cstheme="minorHAnsi"/>
          <w:b/>
          <w:sz w:val="24"/>
          <w:szCs w:val="24"/>
          <w:u w:val="single"/>
        </w:rPr>
      </w:pPr>
      <w:r w:rsidRPr="00EB63D4">
        <w:rPr>
          <w:rFonts w:cstheme="minorHAnsi"/>
          <w:b/>
          <w:sz w:val="24"/>
          <w:szCs w:val="24"/>
          <w:u w:val="single"/>
        </w:rPr>
        <w:lastRenderedPageBreak/>
        <w:t>V- Análisis general del texto en discusión en NNUU</w:t>
      </w:r>
      <w:r w:rsidR="0098574B" w:rsidRPr="00EB63D4">
        <w:rPr>
          <w:rFonts w:cstheme="minorHAnsi"/>
          <w:b/>
          <w:sz w:val="24"/>
          <w:szCs w:val="24"/>
          <w:u w:val="single"/>
        </w:rPr>
        <w:t>:</w:t>
      </w:r>
    </w:p>
    <w:p w:rsidR="0096164B" w:rsidRPr="0096164B" w:rsidRDefault="0096164B" w:rsidP="0096164B">
      <w:pPr>
        <w:pStyle w:val="Standard"/>
        <w:jc w:val="both"/>
        <w:rPr>
          <w:rFonts w:asciiTheme="minorHAnsi" w:hAnsiTheme="minorHAnsi" w:cstheme="minorHAnsi"/>
        </w:rPr>
      </w:pPr>
      <w:r w:rsidRPr="0096164B">
        <w:rPr>
          <w:rFonts w:asciiTheme="minorHAnsi" w:hAnsiTheme="minorHAnsi" w:cstheme="minorHAnsi"/>
        </w:rPr>
        <w:t>Los documentos base para el Grupo de Trabajo de Empresas Transnacionales y DDHH coordinado por la INDDHH fueron: Elementos para un Tratado Vinculante, el Tercer Borrador revisado (Traducción no oficial de la Red-DESC), y el Tercer Borrador con los comentarios de las distintas delegaciones gubernamentales (en inglés).</w:t>
      </w:r>
    </w:p>
    <w:p w:rsidR="0096164B" w:rsidRPr="0096164B" w:rsidRDefault="0096164B" w:rsidP="0096164B">
      <w:pPr>
        <w:pStyle w:val="Standard"/>
        <w:jc w:val="both"/>
        <w:rPr>
          <w:rFonts w:asciiTheme="minorHAnsi" w:hAnsiTheme="minorHAnsi" w:cstheme="minorHAnsi"/>
          <w:color w:val="00B050"/>
        </w:rPr>
      </w:pPr>
    </w:p>
    <w:p w:rsidR="00EB63D4" w:rsidRDefault="00EB63D4">
      <w:pPr>
        <w:rPr>
          <w:rFonts w:cstheme="minorHAnsi"/>
          <w:sz w:val="24"/>
          <w:szCs w:val="24"/>
        </w:rPr>
      </w:pPr>
      <w:r>
        <w:rPr>
          <w:rFonts w:cstheme="minorHAnsi"/>
          <w:sz w:val="24"/>
          <w:szCs w:val="24"/>
        </w:rPr>
        <w:t>El Grupo de Trabajo realizó una discusión de los conceptos y disposiciones establecidas en el proyecto de Tratado Vinculante, considerando a grandes rasgos que el mismo</w:t>
      </w:r>
      <w:r w:rsidRPr="00EB63D4">
        <w:rPr>
          <w:rFonts w:cstheme="minorHAnsi"/>
          <w:sz w:val="24"/>
          <w:szCs w:val="24"/>
        </w:rPr>
        <w:t xml:space="preserve"> emplea ciertos términos que resultan un tanto débiles en su formulación respecto de lo que debe esperarse de un instrumento sobre derechos humanos</w:t>
      </w:r>
      <w:r>
        <w:rPr>
          <w:rFonts w:cstheme="minorHAnsi"/>
          <w:sz w:val="24"/>
          <w:szCs w:val="24"/>
        </w:rPr>
        <w:t>.</w:t>
      </w:r>
      <w:r w:rsidRPr="00EB63D4">
        <w:rPr>
          <w:rFonts w:cstheme="minorHAnsi"/>
          <w:sz w:val="24"/>
          <w:szCs w:val="24"/>
        </w:rPr>
        <w:t xml:space="preserve"> </w:t>
      </w:r>
    </w:p>
    <w:p w:rsidR="0096164B" w:rsidRDefault="00EB63D4" w:rsidP="0096164B">
      <w:pPr>
        <w:rPr>
          <w:rFonts w:cstheme="minorHAnsi"/>
          <w:sz w:val="24"/>
          <w:szCs w:val="24"/>
        </w:rPr>
      </w:pPr>
      <w:r>
        <w:rPr>
          <w:rFonts w:cstheme="minorHAnsi"/>
          <w:sz w:val="24"/>
          <w:szCs w:val="24"/>
        </w:rPr>
        <w:t>Por un lado, se desarrolló un</w:t>
      </w:r>
      <w:r w:rsidR="0098574B" w:rsidRPr="00EB63D4">
        <w:rPr>
          <w:rFonts w:cstheme="minorHAnsi"/>
          <w:sz w:val="24"/>
          <w:szCs w:val="24"/>
        </w:rPr>
        <w:t xml:space="preserve"> análisis del </w:t>
      </w:r>
      <w:r w:rsidR="00157161">
        <w:rPr>
          <w:rFonts w:cstheme="minorHAnsi"/>
          <w:sz w:val="24"/>
          <w:szCs w:val="24"/>
        </w:rPr>
        <w:t>“</w:t>
      </w:r>
      <w:r w:rsidR="0098574B" w:rsidRPr="00EB63D4">
        <w:rPr>
          <w:rFonts w:cstheme="minorHAnsi"/>
          <w:sz w:val="24"/>
          <w:szCs w:val="24"/>
        </w:rPr>
        <w:t>Tercer Borrador</w:t>
      </w:r>
      <w:r w:rsidR="00157161">
        <w:rPr>
          <w:rFonts w:cstheme="minorHAnsi"/>
          <w:sz w:val="24"/>
          <w:szCs w:val="24"/>
        </w:rPr>
        <w:t>”</w:t>
      </w:r>
      <w:r w:rsidR="0098574B" w:rsidRPr="00EB63D4">
        <w:rPr>
          <w:rFonts w:cstheme="minorHAnsi"/>
          <w:sz w:val="24"/>
          <w:szCs w:val="24"/>
        </w:rPr>
        <w:t xml:space="preserve">, realizando comentarios </w:t>
      </w:r>
      <w:r w:rsidR="00157161">
        <w:rPr>
          <w:rFonts w:cstheme="minorHAnsi"/>
          <w:sz w:val="24"/>
          <w:szCs w:val="24"/>
        </w:rPr>
        <w:t xml:space="preserve">específicos </w:t>
      </w:r>
      <w:r w:rsidR="0098574B" w:rsidRPr="00EB63D4">
        <w:rPr>
          <w:rFonts w:cstheme="minorHAnsi"/>
          <w:sz w:val="24"/>
          <w:szCs w:val="24"/>
        </w:rPr>
        <w:t>sobre el proyecto de articulado</w:t>
      </w:r>
      <w:r w:rsidR="00157161">
        <w:rPr>
          <w:rFonts w:cstheme="minorHAnsi"/>
          <w:sz w:val="24"/>
          <w:szCs w:val="24"/>
        </w:rPr>
        <w:t xml:space="preserve"> (hasta el Artículo 8 inclusive)</w:t>
      </w:r>
      <w:r w:rsidR="003737BF">
        <w:rPr>
          <w:rFonts w:cstheme="minorHAnsi"/>
          <w:sz w:val="24"/>
          <w:szCs w:val="24"/>
        </w:rPr>
        <w:t>, en el Anexo I.</w:t>
      </w:r>
    </w:p>
    <w:p w:rsidR="0096164B" w:rsidRPr="0096164B" w:rsidRDefault="0096164B" w:rsidP="0096164B">
      <w:pPr>
        <w:rPr>
          <w:rFonts w:cstheme="minorHAnsi"/>
          <w:sz w:val="24"/>
          <w:szCs w:val="24"/>
        </w:rPr>
      </w:pPr>
      <w:r w:rsidRPr="0096164B">
        <w:rPr>
          <w:rFonts w:cstheme="minorHAnsi"/>
          <w:sz w:val="24"/>
          <w:szCs w:val="24"/>
        </w:rPr>
        <w:t>E</w:t>
      </w:r>
      <w:r>
        <w:rPr>
          <w:rFonts w:cstheme="minorHAnsi"/>
          <w:sz w:val="24"/>
          <w:szCs w:val="24"/>
        </w:rPr>
        <w:t>ste</w:t>
      </w:r>
      <w:r w:rsidRPr="0096164B">
        <w:rPr>
          <w:rFonts w:cstheme="minorHAnsi"/>
          <w:sz w:val="24"/>
          <w:szCs w:val="24"/>
        </w:rPr>
        <w:t xml:space="preserve"> Grupo de Trabajo seguirá analizando los restantes artículos hasta la presentación del Informe Final, sin perjuicio de realizar nuevos informes de avance durante el período de funcionamiento.</w:t>
      </w:r>
    </w:p>
    <w:p w:rsidR="0098574B" w:rsidRPr="00EB63D4" w:rsidRDefault="00157161">
      <w:pPr>
        <w:rPr>
          <w:rFonts w:cstheme="minorHAnsi"/>
          <w:sz w:val="24"/>
          <w:szCs w:val="24"/>
        </w:rPr>
      </w:pPr>
      <w:r>
        <w:rPr>
          <w:rFonts w:cstheme="minorHAnsi"/>
          <w:sz w:val="24"/>
          <w:szCs w:val="24"/>
        </w:rPr>
        <w:t>S</w:t>
      </w:r>
      <w:r w:rsidR="0098574B" w:rsidRPr="00EB63D4">
        <w:rPr>
          <w:rFonts w:cstheme="minorHAnsi"/>
          <w:sz w:val="24"/>
          <w:szCs w:val="24"/>
        </w:rPr>
        <w:t>e analizaron los siguient</w:t>
      </w:r>
      <w:r>
        <w:rPr>
          <w:rFonts w:cstheme="minorHAnsi"/>
          <w:sz w:val="24"/>
          <w:szCs w:val="24"/>
        </w:rPr>
        <w:t>es aspectos generales del proyecto de texto en discusión:</w:t>
      </w:r>
    </w:p>
    <w:p w:rsidR="00DC3711" w:rsidRPr="00EB63D4" w:rsidRDefault="00DC3711" w:rsidP="00DC3711">
      <w:pPr>
        <w:pStyle w:val="Prrafodelista"/>
        <w:numPr>
          <w:ilvl w:val="0"/>
          <w:numId w:val="9"/>
        </w:numPr>
        <w:rPr>
          <w:rFonts w:cstheme="minorHAnsi"/>
          <w:b/>
          <w:sz w:val="24"/>
          <w:szCs w:val="24"/>
        </w:rPr>
      </w:pPr>
      <w:r w:rsidRPr="00EB63D4">
        <w:rPr>
          <w:rFonts w:cstheme="minorHAnsi"/>
          <w:b/>
          <w:sz w:val="24"/>
          <w:szCs w:val="24"/>
        </w:rPr>
        <w:t>Alcance del proyecto de Tratado Vinculante</w:t>
      </w:r>
    </w:p>
    <w:p w:rsidR="00EC7E48" w:rsidRPr="00EB63D4" w:rsidRDefault="00EC7E48" w:rsidP="00EC7E48">
      <w:pPr>
        <w:pStyle w:val="Prrafodelista"/>
        <w:rPr>
          <w:rFonts w:cstheme="minorHAnsi"/>
          <w:b/>
          <w:sz w:val="24"/>
          <w:szCs w:val="24"/>
        </w:rPr>
      </w:pPr>
    </w:p>
    <w:p w:rsidR="00DC3711" w:rsidRPr="00EB63D4" w:rsidRDefault="00C10B1D" w:rsidP="00EC7E48">
      <w:pPr>
        <w:pStyle w:val="Prrafodelista"/>
        <w:numPr>
          <w:ilvl w:val="0"/>
          <w:numId w:val="10"/>
        </w:numPr>
        <w:rPr>
          <w:rFonts w:cstheme="minorHAnsi"/>
          <w:sz w:val="24"/>
          <w:szCs w:val="24"/>
        </w:rPr>
      </w:pPr>
      <w:r w:rsidRPr="00EB63D4">
        <w:rPr>
          <w:rFonts w:cstheme="minorHAnsi"/>
          <w:sz w:val="24"/>
          <w:szCs w:val="24"/>
        </w:rPr>
        <w:t>Existe unanimidad en el Grupo de Trabajo en cuanto a que el Tratado debe centrarse en empresas transnacionales y sus cadenas de valor, en concordancia con la Resolución 26/9 de 2014, ya que las regulaciones para empresas nacionales estarían comprendidas en las normativas de sus países respectivos. El vacío que debe llenar el presente instrumento es el correspondiente</w:t>
      </w:r>
      <w:r w:rsidR="00573400" w:rsidRPr="00EB63D4">
        <w:rPr>
          <w:rFonts w:cstheme="minorHAnsi"/>
          <w:sz w:val="24"/>
          <w:szCs w:val="24"/>
        </w:rPr>
        <w:t xml:space="preserve"> a empresas que desarrollan actividades en distintos países, lo que  les permite eludir normativas nacionales.</w:t>
      </w:r>
      <w:r w:rsidR="00EC7E48" w:rsidRPr="00EB63D4">
        <w:rPr>
          <w:rFonts w:cstheme="minorHAnsi"/>
          <w:sz w:val="24"/>
          <w:szCs w:val="24"/>
        </w:rPr>
        <w:t xml:space="preserve"> </w:t>
      </w:r>
      <w:r w:rsidRPr="00EB63D4">
        <w:rPr>
          <w:rFonts w:cstheme="minorHAnsi"/>
          <w:sz w:val="24"/>
          <w:szCs w:val="24"/>
        </w:rPr>
        <w:t>El texto del Tercer Borrador refiere a “empresas comerciales, incl</w:t>
      </w:r>
      <w:r w:rsidR="00573400" w:rsidRPr="00EB63D4">
        <w:rPr>
          <w:rFonts w:cstheme="minorHAnsi"/>
          <w:sz w:val="24"/>
          <w:szCs w:val="24"/>
        </w:rPr>
        <w:t>uyendo empresas transnacionales”, lo que debe ser modificado por “empresas transnacionales y sus cadenas de valor”.</w:t>
      </w:r>
    </w:p>
    <w:p w:rsidR="00EC7E48" w:rsidRPr="00EB63D4" w:rsidRDefault="00EC7E48" w:rsidP="00EC7E48">
      <w:pPr>
        <w:pStyle w:val="Prrafodelista"/>
        <w:rPr>
          <w:rFonts w:cstheme="minorHAnsi"/>
          <w:sz w:val="24"/>
          <w:szCs w:val="24"/>
        </w:rPr>
      </w:pPr>
    </w:p>
    <w:p w:rsidR="00EC7E48" w:rsidRPr="00EB63D4" w:rsidRDefault="00EC7E48" w:rsidP="00EC7E48">
      <w:pPr>
        <w:pStyle w:val="Prrafodelista"/>
        <w:numPr>
          <w:ilvl w:val="0"/>
          <w:numId w:val="10"/>
        </w:numPr>
        <w:spacing w:after="0" w:line="240" w:lineRule="auto"/>
        <w:rPr>
          <w:rFonts w:eastAsia="Times New Roman" w:cstheme="minorHAnsi"/>
          <w:sz w:val="24"/>
          <w:szCs w:val="24"/>
          <w:lang w:eastAsia="es-ES"/>
        </w:rPr>
      </w:pPr>
      <w:r w:rsidRPr="00EB63D4">
        <w:rPr>
          <w:rFonts w:eastAsia="Times New Roman" w:cstheme="minorHAnsi"/>
          <w:sz w:val="24"/>
          <w:szCs w:val="24"/>
          <w:lang w:eastAsia="es-ES"/>
        </w:rPr>
        <w:t>Asimi</w:t>
      </w:r>
      <w:r w:rsidR="00157161">
        <w:rPr>
          <w:rFonts w:eastAsia="Times New Roman" w:cstheme="minorHAnsi"/>
          <w:sz w:val="24"/>
          <w:szCs w:val="24"/>
          <w:lang w:eastAsia="es-ES"/>
        </w:rPr>
        <w:t>s</w:t>
      </w:r>
      <w:r w:rsidRPr="00EB63D4">
        <w:rPr>
          <w:rFonts w:eastAsia="Times New Roman" w:cstheme="minorHAnsi"/>
          <w:sz w:val="24"/>
          <w:szCs w:val="24"/>
          <w:lang w:eastAsia="es-ES"/>
        </w:rPr>
        <w:t>mo, resulta necesario que el tratado vinculante establezca obligaciones directas de cumplimiento de los derechos humanos a las </w:t>
      </w:r>
      <w:r w:rsidRPr="00EB63D4">
        <w:rPr>
          <w:rFonts w:eastAsia="Times New Roman" w:cstheme="minorHAnsi"/>
          <w:sz w:val="24"/>
          <w:szCs w:val="24"/>
          <w:shd w:val="clear" w:color="auto" w:fill="FFFEC4"/>
          <w:lang w:eastAsia="es-ES"/>
        </w:rPr>
        <w:t>empresas</w:t>
      </w:r>
      <w:r w:rsidRPr="00EB63D4">
        <w:rPr>
          <w:rFonts w:eastAsia="Times New Roman" w:cstheme="minorHAnsi"/>
          <w:sz w:val="24"/>
          <w:szCs w:val="24"/>
          <w:lang w:eastAsia="es-ES"/>
        </w:rPr>
        <w:t> transnacionales, diferenciadas e independientes de las obligaciones de los Estados.</w:t>
      </w:r>
    </w:p>
    <w:p w:rsidR="00EC7E48" w:rsidRPr="00EB63D4" w:rsidRDefault="00EC7E48" w:rsidP="00EC7E48">
      <w:pPr>
        <w:spacing w:after="0" w:line="240" w:lineRule="auto"/>
        <w:ind w:left="360"/>
        <w:rPr>
          <w:rFonts w:eastAsia="Times New Roman" w:cstheme="minorHAnsi"/>
          <w:sz w:val="24"/>
          <w:szCs w:val="24"/>
          <w:lang w:eastAsia="es-ES"/>
        </w:rPr>
      </w:pPr>
    </w:p>
    <w:p w:rsidR="00EC7E48" w:rsidRPr="00EB63D4" w:rsidRDefault="00EC7E48" w:rsidP="00EC7E48">
      <w:pPr>
        <w:pStyle w:val="Prrafodelista"/>
        <w:numPr>
          <w:ilvl w:val="0"/>
          <w:numId w:val="10"/>
        </w:numPr>
        <w:spacing w:after="0" w:line="240" w:lineRule="auto"/>
        <w:rPr>
          <w:rFonts w:cstheme="minorHAnsi"/>
          <w:sz w:val="24"/>
          <w:szCs w:val="24"/>
        </w:rPr>
      </w:pPr>
      <w:r w:rsidRPr="00EB63D4">
        <w:rPr>
          <w:rFonts w:cstheme="minorHAnsi"/>
          <w:sz w:val="24"/>
          <w:szCs w:val="24"/>
        </w:rPr>
        <w:t>Por otro lado, el Tratado Vinculante debería explicitar claramente la primacía del derecho internacional de los derechos humanos sobre cualquier otro instrumento jurídico internacional y, en particular, respecto a los tratados comerciales y acuerdos de inversión.</w:t>
      </w:r>
    </w:p>
    <w:p w:rsidR="00EC7E48" w:rsidRPr="00EB63D4" w:rsidRDefault="00EC7E48" w:rsidP="00EC7E48">
      <w:pPr>
        <w:spacing w:after="0" w:line="240" w:lineRule="auto"/>
        <w:ind w:left="360"/>
        <w:rPr>
          <w:rFonts w:eastAsia="Times New Roman" w:cstheme="minorHAnsi"/>
          <w:sz w:val="24"/>
          <w:szCs w:val="24"/>
          <w:lang w:eastAsia="es-ES"/>
        </w:rPr>
      </w:pPr>
    </w:p>
    <w:p w:rsidR="0096164B" w:rsidRDefault="0096164B" w:rsidP="00DC3711">
      <w:pPr>
        <w:ind w:left="360"/>
        <w:rPr>
          <w:rFonts w:cstheme="minorHAnsi"/>
          <w:b/>
          <w:sz w:val="24"/>
          <w:szCs w:val="24"/>
        </w:rPr>
      </w:pPr>
    </w:p>
    <w:p w:rsidR="00DC3711" w:rsidRPr="00EB63D4" w:rsidRDefault="00573400" w:rsidP="00DC3711">
      <w:pPr>
        <w:ind w:left="360"/>
        <w:rPr>
          <w:rFonts w:cstheme="minorHAnsi"/>
          <w:b/>
          <w:sz w:val="24"/>
          <w:szCs w:val="24"/>
        </w:rPr>
      </w:pPr>
      <w:r w:rsidRPr="00EB63D4">
        <w:rPr>
          <w:rFonts w:cstheme="minorHAnsi"/>
          <w:b/>
          <w:sz w:val="24"/>
          <w:szCs w:val="24"/>
        </w:rPr>
        <w:lastRenderedPageBreak/>
        <w:t>b- Inadecuación del concepto de “abusos” de derechos humanos</w:t>
      </w:r>
    </w:p>
    <w:p w:rsidR="00C80F9D" w:rsidRPr="00EB63D4" w:rsidRDefault="00C80F9D" w:rsidP="00C80F9D">
      <w:pPr>
        <w:ind w:firstLine="708"/>
        <w:jc w:val="both"/>
        <w:rPr>
          <w:rFonts w:cstheme="minorHAnsi"/>
          <w:sz w:val="24"/>
          <w:szCs w:val="24"/>
        </w:rPr>
      </w:pPr>
      <w:r w:rsidRPr="00EB63D4">
        <w:rPr>
          <w:rFonts w:cstheme="minorHAnsi"/>
          <w:sz w:val="24"/>
          <w:szCs w:val="24"/>
        </w:rPr>
        <w:t>““A</w:t>
      </w:r>
      <w:r w:rsidRPr="00EB63D4">
        <w:rPr>
          <w:rFonts w:cstheme="minorHAnsi"/>
          <w:iCs/>
          <w:sz w:val="24"/>
          <w:szCs w:val="24"/>
        </w:rPr>
        <w:t>busar”</w:t>
      </w:r>
      <w:r w:rsidRPr="00EB63D4">
        <w:rPr>
          <w:rFonts w:cstheme="minorHAnsi"/>
          <w:sz w:val="24"/>
          <w:szCs w:val="24"/>
        </w:rPr>
        <w:t xml:space="preserve"> se entiende como un “</w:t>
      </w:r>
      <w:r w:rsidRPr="00EB63D4">
        <w:rPr>
          <w:rFonts w:cstheme="minorHAnsi"/>
          <w:i/>
          <w:iCs/>
          <w:sz w:val="24"/>
          <w:szCs w:val="24"/>
        </w:rPr>
        <w:t>uso excesivo o inadecuado de una cosa en perjuicio propio o ajeno</w:t>
      </w:r>
      <w:r w:rsidRPr="00EB63D4">
        <w:rPr>
          <w:rFonts w:cstheme="minorHAnsi"/>
          <w:sz w:val="24"/>
          <w:szCs w:val="24"/>
        </w:rPr>
        <w:t>” o “</w:t>
      </w:r>
      <w:r w:rsidRPr="00EB63D4">
        <w:rPr>
          <w:rFonts w:cstheme="minorHAnsi"/>
          <w:i/>
          <w:iCs/>
          <w:sz w:val="24"/>
          <w:szCs w:val="24"/>
        </w:rPr>
        <w:t>aprovecharse de forma excesiva de una persona, o de una facultad o cualidad de alguien en beneficio propio</w:t>
      </w:r>
      <w:r w:rsidRPr="00EB63D4">
        <w:rPr>
          <w:rFonts w:cstheme="minorHAnsi"/>
          <w:sz w:val="24"/>
          <w:szCs w:val="24"/>
        </w:rPr>
        <w:t>”. No se trata de atenuar la violación de los derechos ni de sancionar el aprovechamiento excesivo de una persona, sino simplemente de afirmar la vigencia de los derechos y prevenir y sancionar el incumplimiento sin otra calificación”</w:t>
      </w:r>
      <w:r w:rsidRPr="00EB63D4">
        <w:rPr>
          <w:rStyle w:val="Refdenotaalpie"/>
          <w:rFonts w:cstheme="minorHAnsi"/>
          <w:sz w:val="24"/>
          <w:szCs w:val="24"/>
        </w:rPr>
        <w:footnoteReference w:id="1"/>
      </w:r>
      <w:r w:rsidRPr="00EB63D4">
        <w:rPr>
          <w:rFonts w:cstheme="minorHAnsi"/>
          <w:sz w:val="24"/>
          <w:szCs w:val="24"/>
        </w:rPr>
        <w:t>.</w:t>
      </w:r>
    </w:p>
    <w:p w:rsidR="00573400" w:rsidRPr="00EB63D4" w:rsidRDefault="00C80F9D" w:rsidP="00DC3711">
      <w:pPr>
        <w:ind w:left="360"/>
        <w:rPr>
          <w:rFonts w:cstheme="minorHAnsi"/>
          <w:sz w:val="24"/>
          <w:szCs w:val="24"/>
        </w:rPr>
      </w:pPr>
      <w:r w:rsidRPr="00EB63D4">
        <w:rPr>
          <w:rFonts w:cstheme="minorHAnsi"/>
          <w:sz w:val="24"/>
          <w:szCs w:val="24"/>
        </w:rPr>
        <w:t>Por lo tanto, la palabra “abusos de derechos humanos” en todo el texto debería sustituirse por “violaciones de derechos humanos”, al tiempo que pueden incluirse otras complementarias, como “vulneraciones”, “incumplimientos”, “afectaciones”.</w:t>
      </w:r>
    </w:p>
    <w:p w:rsidR="00C80F9D" w:rsidRPr="00EB63D4" w:rsidRDefault="00C80F9D" w:rsidP="00DC3711">
      <w:pPr>
        <w:ind w:left="360"/>
        <w:rPr>
          <w:rFonts w:cstheme="minorHAnsi"/>
          <w:b/>
          <w:sz w:val="24"/>
          <w:szCs w:val="24"/>
        </w:rPr>
      </w:pPr>
      <w:r w:rsidRPr="00EB63D4">
        <w:rPr>
          <w:rFonts w:cstheme="minorHAnsi"/>
          <w:b/>
          <w:sz w:val="24"/>
          <w:szCs w:val="24"/>
        </w:rPr>
        <w:t>c- Inadecuación del concepto de “mitiga</w:t>
      </w:r>
      <w:r w:rsidR="0005403D" w:rsidRPr="00EB63D4">
        <w:rPr>
          <w:rFonts w:cstheme="minorHAnsi"/>
          <w:b/>
          <w:sz w:val="24"/>
          <w:szCs w:val="24"/>
        </w:rPr>
        <w:t>ción</w:t>
      </w:r>
      <w:r w:rsidRPr="00EB63D4">
        <w:rPr>
          <w:rFonts w:cstheme="minorHAnsi"/>
          <w:b/>
          <w:sz w:val="24"/>
          <w:szCs w:val="24"/>
        </w:rPr>
        <w:t>”, relacionado a violaciones de derechos humanos</w:t>
      </w:r>
    </w:p>
    <w:p w:rsidR="00C80F9D" w:rsidRPr="00EB63D4" w:rsidRDefault="001F004E" w:rsidP="001F004E">
      <w:pPr>
        <w:ind w:firstLine="708"/>
        <w:jc w:val="both"/>
        <w:rPr>
          <w:rFonts w:cstheme="minorHAnsi"/>
          <w:sz w:val="24"/>
          <w:szCs w:val="24"/>
        </w:rPr>
      </w:pPr>
      <w:r w:rsidRPr="00EB63D4">
        <w:rPr>
          <w:rFonts w:cstheme="minorHAnsi"/>
          <w:sz w:val="24"/>
          <w:szCs w:val="24"/>
        </w:rPr>
        <w:t>“L</w:t>
      </w:r>
      <w:r w:rsidR="00C80F9D" w:rsidRPr="00EB63D4">
        <w:rPr>
          <w:rFonts w:cstheme="minorHAnsi"/>
          <w:sz w:val="24"/>
          <w:szCs w:val="24"/>
        </w:rPr>
        <w:t>a locución “</w:t>
      </w:r>
      <w:r w:rsidR="00C80F9D" w:rsidRPr="00EB63D4">
        <w:rPr>
          <w:rFonts w:cstheme="minorHAnsi"/>
          <w:i/>
          <w:iCs/>
          <w:sz w:val="24"/>
          <w:szCs w:val="24"/>
        </w:rPr>
        <w:t>mitiguen los abusos</w:t>
      </w:r>
      <w:r w:rsidR="00C80F9D" w:rsidRPr="00EB63D4">
        <w:rPr>
          <w:rFonts w:cstheme="minorHAnsi"/>
          <w:sz w:val="24"/>
          <w:szCs w:val="24"/>
        </w:rPr>
        <w:t>” aparece como un sucedáneo inapropiado de una terminología que debería ser mucho más rigurosa si atendemos al bien jurídico protegido, como es la dignidad de las personas.</w:t>
      </w:r>
      <w:r w:rsidRPr="00EB63D4">
        <w:rPr>
          <w:rFonts w:cstheme="minorHAnsi"/>
          <w:sz w:val="24"/>
          <w:szCs w:val="24"/>
        </w:rPr>
        <w:t xml:space="preserve"> </w:t>
      </w:r>
      <w:r w:rsidR="00C80F9D" w:rsidRPr="00EB63D4">
        <w:rPr>
          <w:rFonts w:cstheme="minorHAnsi"/>
          <w:sz w:val="24"/>
          <w:szCs w:val="24"/>
        </w:rPr>
        <w:t xml:space="preserve">En concreto, </w:t>
      </w:r>
      <w:r w:rsidR="00C80F9D" w:rsidRPr="00EB63D4">
        <w:rPr>
          <w:rFonts w:cstheme="minorHAnsi"/>
          <w:i/>
          <w:iCs/>
          <w:sz w:val="24"/>
          <w:szCs w:val="24"/>
        </w:rPr>
        <w:t>mitigar</w:t>
      </w:r>
      <w:r w:rsidR="00C80F9D" w:rsidRPr="00EB63D4">
        <w:rPr>
          <w:rFonts w:cstheme="minorHAnsi"/>
          <w:sz w:val="24"/>
          <w:szCs w:val="24"/>
        </w:rPr>
        <w:t xml:space="preserve"> significa “</w:t>
      </w:r>
      <w:r w:rsidR="00C80F9D" w:rsidRPr="00EB63D4">
        <w:rPr>
          <w:rFonts w:cstheme="minorHAnsi"/>
          <w:i/>
          <w:iCs/>
          <w:sz w:val="24"/>
          <w:szCs w:val="24"/>
        </w:rPr>
        <w:t>atenuar o suavizar una cosa negativa</w:t>
      </w:r>
      <w:r w:rsidRPr="00EB63D4">
        <w:rPr>
          <w:rFonts w:cstheme="minorHAnsi"/>
          <w:sz w:val="24"/>
          <w:szCs w:val="24"/>
        </w:rPr>
        <w:t xml:space="preserve">” (…) </w:t>
      </w:r>
      <w:r w:rsidR="00C80F9D" w:rsidRPr="00EB63D4">
        <w:rPr>
          <w:rFonts w:cstheme="minorHAnsi"/>
          <w:sz w:val="24"/>
          <w:szCs w:val="24"/>
        </w:rPr>
        <w:t>No se trata de atenuar la violación de los derechos ni de sancionar el aprovechamiento excesivo de una persona, sino simplemente de afirmar la vigencia de los derechos y prevenir y sancionar el incumplimiento sin otra calificación.</w:t>
      </w:r>
      <w:r w:rsidRPr="00EB63D4">
        <w:rPr>
          <w:rFonts w:cstheme="minorHAnsi"/>
          <w:sz w:val="24"/>
          <w:szCs w:val="24"/>
        </w:rPr>
        <w:t xml:space="preserve"> </w:t>
      </w:r>
      <w:r w:rsidR="00C80F9D" w:rsidRPr="00EB63D4">
        <w:rPr>
          <w:rFonts w:cstheme="minorHAnsi"/>
          <w:sz w:val="24"/>
          <w:szCs w:val="24"/>
        </w:rPr>
        <w:t xml:space="preserve">En consecuencia, a nuestro juicio debería revisarse la semántica de todo el proyecto para suprimir las referencias a </w:t>
      </w:r>
      <w:r w:rsidR="00C80F9D" w:rsidRPr="00EB63D4">
        <w:rPr>
          <w:rFonts w:cstheme="minorHAnsi"/>
          <w:i/>
          <w:iCs/>
          <w:sz w:val="24"/>
          <w:szCs w:val="24"/>
        </w:rPr>
        <w:t>“mitigar los abusos</w:t>
      </w:r>
      <w:r w:rsidR="00C80F9D" w:rsidRPr="00EB63D4">
        <w:rPr>
          <w:rFonts w:cstheme="minorHAnsi"/>
          <w:sz w:val="24"/>
          <w:szCs w:val="24"/>
        </w:rPr>
        <w:t>”, porque no debería estar permitido ningún tipo de facilitación o admisión del incumplimiento</w:t>
      </w:r>
      <w:r w:rsidRPr="00EB63D4">
        <w:rPr>
          <w:rFonts w:cstheme="minorHAnsi"/>
          <w:sz w:val="24"/>
          <w:szCs w:val="24"/>
        </w:rPr>
        <w:t>”</w:t>
      </w:r>
      <w:r w:rsidRPr="00EB63D4">
        <w:rPr>
          <w:rStyle w:val="Refdenotaalpie"/>
          <w:rFonts w:cstheme="minorHAnsi"/>
          <w:sz w:val="24"/>
          <w:szCs w:val="24"/>
        </w:rPr>
        <w:footnoteReference w:id="2"/>
      </w:r>
      <w:r w:rsidR="00C80F9D" w:rsidRPr="00EB63D4">
        <w:rPr>
          <w:rFonts w:cstheme="minorHAnsi"/>
          <w:sz w:val="24"/>
          <w:szCs w:val="24"/>
        </w:rPr>
        <w:t>.</w:t>
      </w:r>
    </w:p>
    <w:p w:rsidR="0005403D" w:rsidRPr="00EB63D4" w:rsidRDefault="0005403D" w:rsidP="001F004E">
      <w:pPr>
        <w:ind w:firstLine="708"/>
        <w:jc w:val="both"/>
        <w:rPr>
          <w:rFonts w:cstheme="minorHAnsi"/>
          <w:sz w:val="24"/>
          <w:szCs w:val="24"/>
        </w:rPr>
      </w:pPr>
      <w:r w:rsidRPr="00EB63D4">
        <w:rPr>
          <w:rFonts w:cstheme="minorHAnsi"/>
          <w:sz w:val="24"/>
          <w:szCs w:val="24"/>
        </w:rPr>
        <w:t>Toda vez que aparezca en el texto este concepto, debería ser sustituido por otros como “prevenir, evitar y reparar” violaciones de derechos humanos.</w:t>
      </w:r>
    </w:p>
    <w:p w:rsidR="00F601EA" w:rsidRPr="00EB63D4" w:rsidRDefault="00F601EA" w:rsidP="001F004E">
      <w:pPr>
        <w:ind w:firstLine="708"/>
        <w:jc w:val="both"/>
        <w:rPr>
          <w:rFonts w:cstheme="minorHAnsi"/>
          <w:b/>
          <w:sz w:val="24"/>
          <w:szCs w:val="24"/>
        </w:rPr>
      </w:pPr>
      <w:r w:rsidRPr="00EB63D4">
        <w:rPr>
          <w:rFonts w:cstheme="minorHAnsi"/>
          <w:b/>
          <w:sz w:val="24"/>
          <w:szCs w:val="24"/>
        </w:rPr>
        <w:t>d- Limitaciones del concepto de “debida diligencia”</w:t>
      </w:r>
    </w:p>
    <w:p w:rsidR="00F601EA" w:rsidRPr="00EB63D4" w:rsidRDefault="00F601EA" w:rsidP="00F601EA">
      <w:pPr>
        <w:jc w:val="both"/>
        <w:rPr>
          <w:rFonts w:cstheme="minorHAnsi"/>
          <w:sz w:val="24"/>
          <w:szCs w:val="24"/>
        </w:rPr>
      </w:pPr>
      <w:r w:rsidRPr="00EB63D4">
        <w:rPr>
          <w:rFonts w:cstheme="minorHAnsi"/>
          <w:sz w:val="24"/>
          <w:szCs w:val="24"/>
        </w:rPr>
        <w:t xml:space="preserve">“La </w:t>
      </w:r>
      <w:r w:rsidRPr="00EB63D4">
        <w:rPr>
          <w:rFonts w:cstheme="minorHAnsi"/>
          <w:i/>
          <w:iCs/>
          <w:sz w:val="24"/>
          <w:szCs w:val="24"/>
        </w:rPr>
        <w:t>debida diligencia</w:t>
      </w:r>
      <w:r w:rsidRPr="00EB63D4">
        <w:rPr>
          <w:rFonts w:cstheme="minorHAnsi"/>
          <w:sz w:val="24"/>
          <w:szCs w:val="24"/>
        </w:rPr>
        <w:t xml:space="preserve"> tampoco se dirige a sancionar el incumplimiento de obligaciones sustantivas, sino que tiene que ver con la obligación de conducirse de manera de evitar riesgos asociados a sus actividades. Es lo que se denomina una “obligación de medios”.</w:t>
      </w:r>
      <w:r w:rsidRPr="00EB63D4">
        <w:rPr>
          <w:rStyle w:val="Refdenotaalpie"/>
          <w:rFonts w:cstheme="minorHAnsi"/>
          <w:sz w:val="24"/>
          <w:szCs w:val="24"/>
        </w:rPr>
        <w:footnoteReference w:id="3"/>
      </w:r>
    </w:p>
    <w:p w:rsidR="00F601EA" w:rsidRPr="00EB63D4" w:rsidRDefault="00F601EA" w:rsidP="00F601EA">
      <w:pPr>
        <w:adjustRightInd w:val="0"/>
        <w:rPr>
          <w:rFonts w:cstheme="minorHAnsi"/>
          <w:bCs/>
          <w:sz w:val="24"/>
          <w:szCs w:val="24"/>
        </w:rPr>
      </w:pPr>
      <w:r w:rsidRPr="00EB63D4">
        <w:rPr>
          <w:rFonts w:cstheme="minorHAnsi"/>
          <w:sz w:val="24"/>
          <w:szCs w:val="24"/>
        </w:rPr>
        <w:t xml:space="preserve">El acento puesto en </w:t>
      </w:r>
      <w:r w:rsidRPr="00EB63D4">
        <w:rPr>
          <w:rFonts w:cstheme="minorHAnsi"/>
          <w:bCs/>
          <w:sz w:val="24"/>
          <w:szCs w:val="24"/>
        </w:rPr>
        <w:t>la obligación de “debida diligencia”, comporta implantar una regla que no asegura el resultado final del cumplimiento de los Derechos Humanos, sino que se dirige meramente a exigir un comportamiento conducente a “informar”, “prevenir”, “vigilar”, en materia de “abusos” etc.</w:t>
      </w:r>
    </w:p>
    <w:p w:rsidR="00F601EA" w:rsidRPr="00EB63D4" w:rsidRDefault="00F601EA" w:rsidP="00F601EA">
      <w:pPr>
        <w:adjustRightInd w:val="0"/>
        <w:rPr>
          <w:rFonts w:cstheme="minorHAnsi"/>
          <w:sz w:val="24"/>
          <w:szCs w:val="24"/>
        </w:rPr>
      </w:pPr>
      <w:r w:rsidRPr="00EB63D4">
        <w:rPr>
          <w:rFonts w:cstheme="minorHAnsi"/>
          <w:sz w:val="24"/>
          <w:szCs w:val="24"/>
        </w:rPr>
        <w:lastRenderedPageBreak/>
        <w:t>Una obligación de prevención con estas características no alcanza para proteger adecuadamente los Derechos Humanos, y su uso desmesurado en este tercer borrador y en otros instrumentos internacionales de tipo voluntario (…), hace que prácticamente sustituyan las obligaciones sustantivas de cumplimiento pleno y efectivo”</w:t>
      </w:r>
      <w:r w:rsidRPr="00EB63D4">
        <w:rPr>
          <w:rStyle w:val="Refdenotaalpie"/>
          <w:rFonts w:cstheme="minorHAnsi"/>
          <w:sz w:val="24"/>
          <w:szCs w:val="24"/>
        </w:rPr>
        <w:footnoteReference w:id="4"/>
      </w:r>
      <w:r w:rsidRPr="00EB63D4">
        <w:rPr>
          <w:rFonts w:cstheme="minorHAnsi"/>
          <w:sz w:val="24"/>
          <w:szCs w:val="24"/>
        </w:rPr>
        <w:t>.</w:t>
      </w:r>
    </w:p>
    <w:p w:rsidR="00812531" w:rsidRPr="00EB63D4" w:rsidRDefault="00371D69" w:rsidP="00371D69">
      <w:pPr>
        <w:jc w:val="both"/>
        <w:rPr>
          <w:rFonts w:cstheme="minorHAnsi"/>
          <w:sz w:val="24"/>
          <w:szCs w:val="24"/>
        </w:rPr>
      </w:pPr>
      <w:r w:rsidRPr="00EB63D4">
        <w:rPr>
          <w:rFonts w:cstheme="minorHAnsi"/>
          <w:sz w:val="24"/>
          <w:szCs w:val="24"/>
        </w:rPr>
        <w:t>Por otro lado, en ciertas partes del texto se hace referencia a la obligación de debida diligencia</w:t>
      </w:r>
      <w:r w:rsidR="00812531" w:rsidRPr="00EB63D4">
        <w:rPr>
          <w:rFonts w:cstheme="minorHAnsi"/>
          <w:sz w:val="24"/>
          <w:szCs w:val="24"/>
        </w:rPr>
        <w:t xml:space="preserve"> “</w:t>
      </w:r>
      <w:r w:rsidR="00812531" w:rsidRPr="00EB63D4">
        <w:rPr>
          <w:rFonts w:cstheme="minorHAnsi"/>
          <w:i/>
          <w:iCs/>
          <w:sz w:val="24"/>
          <w:szCs w:val="24"/>
        </w:rPr>
        <w:t>en materia de derechos humanos proporcional a su tamaño</w:t>
      </w:r>
      <w:r w:rsidR="00812531" w:rsidRPr="00EB63D4">
        <w:rPr>
          <w:rFonts w:cstheme="minorHAnsi"/>
          <w:sz w:val="24"/>
          <w:szCs w:val="24"/>
        </w:rPr>
        <w:t>”.</w:t>
      </w:r>
      <w:r w:rsidRPr="00EB63D4">
        <w:rPr>
          <w:rFonts w:cstheme="minorHAnsi"/>
          <w:sz w:val="24"/>
          <w:szCs w:val="24"/>
        </w:rPr>
        <w:t xml:space="preserve"> Sin embargo, no se especifica de qué manera podría influir el tamaño de una empresa con el cumplimiento de sus obligaciones de derechos humanos.</w:t>
      </w:r>
    </w:p>
    <w:p w:rsidR="00812531" w:rsidRPr="00EB63D4" w:rsidRDefault="00371D69" w:rsidP="00371D69">
      <w:pPr>
        <w:jc w:val="both"/>
        <w:rPr>
          <w:rFonts w:cstheme="minorHAnsi"/>
          <w:sz w:val="24"/>
          <w:szCs w:val="24"/>
        </w:rPr>
      </w:pPr>
      <w:r w:rsidRPr="00EB63D4">
        <w:rPr>
          <w:rFonts w:cstheme="minorHAnsi"/>
          <w:sz w:val="24"/>
          <w:szCs w:val="24"/>
        </w:rPr>
        <w:t>“</w:t>
      </w:r>
      <w:r w:rsidR="00812531" w:rsidRPr="00EB63D4">
        <w:rPr>
          <w:rFonts w:cstheme="minorHAnsi"/>
          <w:sz w:val="24"/>
          <w:szCs w:val="24"/>
        </w:rPr>
        <w:t>Parece inadecuado vincular el grado de cumplimiento de los derechos al tamaño y otras características del sujeto pasivo de la obligación, o sea, las empresas</w:t>
      </w:r>
      <w:r w:rsidRPr="00EB63D4">
        <w:rPr>
          <w:rFonts w:cstheme="minorHAnsi"/>
          <w:sz w:val="24"/>
          <w:szCs w:val="24"/>
        </w:rPr>
        <w:t>. (…)Se trata de una referencia que debería suprimirse, tratando por igual la carga de responsabilidad de las empresas”</w:t>
      </w:r>
      <w:r w:rsidRPr="00EB63D4">
        <w:rPr>
          <w:rStyle w:val="Refdenotaalpie"/>
          <w:rFonts w:cstheme="minorHAnsi"/>
          <w:sz w:val="24"/>
          <w:szCs w:val="24"/>
        </w:rPr>
        <w:footnoteReference w:id="5"/>
      </w:r>
      <w:r w:rsidR="00812531" w:rsidRPr="00EB63D4">
        <w:rPr>
          <w:rFonts w:cstheme="minorHAnsi"/>
          <w:sz w:val="24"/>
          <w:szCs w:val="24"/>
        </w:rPr>
        <w:t xml:space="preserve">. </w:t>
      </w:r>
    </w:p>
    <w:p w:rsidR="00812531" w:rsidRPr="00EB63D4" w:rsidRDefault="000C77C5" w:rsidP="000C77C5">
      <w:pPr>
        <w:jc w:val="both"/>
        <w:rPr>
          <w:rFonts w:cstheme="minorHAnsi"/>
          <w:sz w:val="24"/>
          <w:szCs w:val="24"/>
        </w:rPr>
      </w:pPr>
      <w:r w:rsidRPr="00EB63D4">
        <w:rPr>
          <w:rFonts w:cstheme="minorHAnsi"/>
          <w:sz w:val="24"/>
          <w:szCs w:val="24"/>
        </w:rPr>
        <w:t xml:space="preserve">En otro orden, uno de los componentes planteados de la debida diligencia es la comunicación con las partes afectadas por las empresas. </w:t>
      </w:r>
    </w:p>
    <w:p w:rsidR="000C77C5" w:rsidRPr="00EB63D4" w:rsidRDefault="000C77C5" w:rsidP="000C77C5">
      <w:pPr>
        <w:jc w:val="both"/>
        <w:rPr>
          <w:rFonts w:cstheme="minorHAnsi"/>
          <w:sz w:val="24"/>
          <w:szCs w:val="24"/>
        </w:rPr>
      </w:pPr>
      <w:r w:rsidRPr="00EB63D4">
        <w:rPr>
          <w:rFonts w:cstheme="minorHAnsi"/>
          <w:sz w:val="24"/>
          <w:szCs w:val="24"/>
        </w:rPr>
        <w:t>Desde lo analizado en este grupo, se considera que la comunicación con las personas afectadas</w:t>
      </w:r>
      <w:r w:rsidR="0096164B" w:rsidRPr="006E1CA3">
        <w:rPr>
          <w:rFonts w:cstheme="minorHAnsi"/>
          <w:sz w:val="24"/>
          <w:szCs w:val="24"/>
        </w:rPr>
        <w:t xml:space="preserve">, así como los procesos de consulta pública, </w:t>
      </w:r>
      <w:r w:rsidRPr="006E1CA3">
        <w:rPr>
          <w:rFonts w:cstheme="minorHAnsi"/>
          <w:sz w:val="24"/>
          <w:szCs w:val="24"/>
        </w:rPr>
        <w:t xml:space="preserve"> debe</w:t>
      </w:r>
      <w:r w:rsidR="0096164B" w:rsidRPr="006E1CA3">
        <w:rPr>
          <w:rFonts w:cstheme="minorHAnsi"/>
          <w:sz w:val="24"/>
          <w:szCs w:val="24"/>
        </w:rPr>
        <w:t>n</w:t>
      </w:r>
      <w:r w:rsidRPr="006E1CA3">
        <w:rPr>
          <w:rFonts w:cstheme="minorHAnsi"/>
          <w:sz w:val="24"/>
          <w:szCs w:val="24"/>
        </w:rPr>
        <w:t xml:space="preserve"> </w:t>
      </w:r>
      <w:r w:rsidRPr="00EB63D4">
        <w:rPr>
          <w:rFonts w:cstheme="minorHAnsi"/>
          <w:sz w:val="24"/>
          <w:szCs w:val="24"/>
        </w:rPr>
        <w:t xml:space="preserve">darse en un marco que garantice que no se produzcan presiones, amenazas, </w:t>
      </w:r>
      <w:proofErr w:type="spellStart"/>
      <w:r w:rsidRPr="00EB63D4">
        <w:rPr>
          <w:rFonts w:cstheme="minorHAnsi"/>
          <w:sz w:val="24"/>
          <w:szCs w:val="24"/>
        </w:rPr>
        <w:t>revictimización</w:t>
      </w:r>
      <w:proofErr w:type="spellEnd"/>
      <w:r w:rsidRPr="00EB63D4">
        <w:rPr>
          <w:rFonts w:cstheme="minorHAnsi"/>
          <w:sz w:val="24"/>
          <w:szCs w:val="24"/>
        </w:rPr>
        <w:t xml:space="preserve"> y/o victimización secundaria, así como quiebres del tejido social por parte de las empresas”. En este sentido, es el Estado el que debe realizar</w:t>
      </w:r>
      <w:r w:rsidR="0088293F">
        <w:rPr>
          <w:rFonts w:cstheme="minorHAnsi"/>
          <w:sz w:val="24"/>
          <w:szCs w:val="24"/>
        </w:rPr>
        <w:t xml:space="preserve"> y</w:t>
      </w:r>
      <w:r w:rsidR="0096164B">
        <w:rPr>
          <w:rFonts w:cstheme="minorHAnsi"/>
          <w:sz w:val="24"/>
          <w:szCs w:val="24"/>
        </w:rPr>
        <w:t xml:space="preserve"> observar</w:t>
      </w:r>
      <w:r w:rsidRPr="00EB63D4">
        <w:rPr>
          <w:rFonts w:cstheme="minorHAnsi"/>
          <w:sz w:val="24"/>
          <w:szCs w:val="24"/>
        </w:rPr>
        <w:t xml:space="preserve"> los procesos de </w:t>
      </w:r>
      <w:r w:rsidR="0088293F">
        <w:rPr>
          <w:rFonts w:cstheme="minorHAnsi"/>
          <w:sz w:val="24"/>
          <w:szCs w:val="24"/>
        </w:rPr>
        <w:t>consulta pública</w:t>
      </w:r>
      <w:r w:rsidR="0088293F" w:rsidRPr="00EB63D4">
        <w:rPr>
          <w:rFonts w:cstheme="minorHAnsi"/>
          <w:sz w:val="24"/>
          <w:szCs w:val="24"/>
        </w:rPr>
        <w:t xml:space="preserve"> </w:t>
      </w:r>
      <w:r w:rsidR="0088293F">
        <w:rPr>
          <w:rFonts w:cstheme="minorHAnsi"/>
          <w:sz w:val="24"/>
          <w:szCs w:val="24"/>
        </w:rPr>
        <w:t xml:space="preserve">y de </w:t>
      </w:r>
      <w:r w:rsidRPr="00EB63D4">
        <w:rPr>
          <w:rFonts w:cstheme="minorHAnsi"/>
          <w:sz w:val="24"/>
          <w:szCs w:val="24"/>
        </w:rPr>
        <w:t>comunicación</w:t>
      </w:r>
      <w:r w:rsidR="0096164B">
        <w:rPr>
          <w:rFonts w:cstheme="minorHAnsi"/>
          <w:sz w:val="24"/>
          <w:szCs w:val="24"/>
        </w:rPr>
        <w:t xml:space="preserve"> con las </w:t>
      </w:r>
      <w:r w:rsidR="0088293F">
        <w:rPr>
          <w:rFonts w:cstheme="minorHAnsi"/>
          <w:sz w:val="24"/>
          <w:szCs w:val="24"/>
        </w:rPr>
        <w:t>partes eventualmente afectadas.</w:t>
      </w:r>
    </w:p>
    <w:p w:rsidR="00322D12" w:rsidRPr="00EB63D4" w:rsidRDefault="00322D12" w:rsidP="00F601EA">
      <w:pPr>
        <w:adjustRightInd w:val="0"/>
        <w:rPr>
          <w:rFonts w:cstheme="minorHAnsi"/>
          <w:b/>
          <w:sz w:val="24"/>
          <w:szCs w:val="24"/>
        </w:rPr>
      </w:pPr>
      <w:r w:rsidRPr="00EB63D4">
        <w:rPr>
          <w:rFonts w:cstheme="minorHAnsi"/>
          <w:b/>
          <w:sz w:val="24"/>
          <w:szCs w:val="24"/>
        </w:rPr>
        <w:t>e- Limitaciones del concepto de “víctimas”</w:t>
      </w:r>
    </w:p>
    <w:p w:rsidR="002558A9" w:rsidRPr="00EB63D4" w:rsidRDefault="002558A9" w:rsidP="00F601EA">
      <w:pPr>
        <w:adjustRightInd w:val="0"/>
        <w:rPr>
          <w:rFonts w:cstheme="minorHAnsi"/>
          <w:sz w:val="24"/>
          <w:szCs w:val="24"/>
        </w:rPr>
      </w:pPr>
      <w:r w:rsidRPr="00EB63D4">
        <w:rPr>
          <w:rFonts w:cstheme="minorHAnsi"/>
          <w:sz w:val="24"/>
          <w:szCs w:val="24"/>
        </w:rPr>
        <w:t xml:space="preserve">Las personas y comunidades pueden verse afectadas por las actividades de las empresas, aunque no hayan sido declaradas como víctimas. Asimismo, se considera necesario adoptar una definición más amplia que la estrictamente penalista centrada en las personas individuales afectadas directamente. </w:t>
      </w:r>
    </w:p>
    <w:p w:rsidR="002558A9" w:rsidRPr="00EB63D4" w:rsidRDefault="002558A9" w:rsidP="00F601EA">
      <w:pPr>
        <w:adjustRightInd w:val="0"/>
        <w:rPr>
          <w:rFonts w:cstheme="minorHAnsi"/>
          <w:sz w:val="24"/>
          <w:szCs w:val="24"/>
        </w:rPr>
      </w:pPr>
      <w:r w:rsidRPr="00EB63D4">
        <w:rPr>
          <w:rFonts w:cstheme="minorHAnsi"/>
          <w:sz w:val="24"/>
          <w:szCs w:val="24"/>
        </w:rPr>
        <w:t xml:space="preserve">Los derechos humanos referidos en el presente instrumento, así como las personas con legitimación activa para interponer demandas, deben comprender a todas las personas, organizaciones sociales y/o  comunidades potencialmente afectadas con las actividades de las empresas. </w:t>
      </w:r>
    </w:p>
    <w:p w:rsidR="0088293F" w:rsidRDefault="0088293F" w:rsidP="00F601EA">
      <w:pPr>
        <w:adjustRightInd w:val="0"/>
        <w:rPr>
          <w:rFonts w:cstheme="minorHAnsi"/>
          <w:b/>
          <w:sz w:val="24"/>
          <w:szCs w:val="24"/>
        </w:rPr>
      </w:pPr>
    </w:p>
    <w:p w:rsidR="0088293F" w:rsidRDefault="0088293F" w:rsidP="00F601EA">
      <w:pPr>
        <w:adjustRightInd w:val="0"/>
        <w:rPr>
          <w:rFonts w:cstheme="minorHAnsi"/>
          <w:b/>
          <w:sz w:val="24"/>
          <w:szCs w:val="24"/>
        </w:rPr>
      </w:pPr>
    </w:p>
    <w:p w:rsidR="00322D12" w:rsidRPr="00EB63D4" w:rsidRDefault="00322D12" w:rsidP="00F601EA">
      <w:pPr>
        <w:adjustRightInd w:val="0"/>
        <w:rPr>
          <w:rFonts w:cstheme="minorHAnsi"/>
          <w:b/>
          <w:sz w:val="24"/>
          <w:szCs w:val="24"/>
        </w:rPr>
      </w:pPr>
      <w:r w:rsidRPr="00EB63D4">
        <w:rPr>
          <w:rFonts w:cstheme="minorHAnsi"/>
          <w:b/>
          <w:sz w:val="24"/>
          <w:szCs w:val="24"/>
        </w:rPr>
        <w:lastRenderedPageBreak/>
        <w:t>f- Necesidad de ampliar el énfasis en las “cadenas de valor” y las responsabilidades de las casas matrices de las empresas transnacionales</w:t>
      </w:r>
    </w:p>
    <w:p w:rsidR="00E82A59" w:rsidRPr="00EB63D4" w:rsidRDefault="00E82A59" w:rsidP="00F601EA">
      <w:pPr>
        <w:adjustRightInd w:val="0"/>
        <w:rPr>
          <w:rFonts w:cstheme="minorHAnsi"/>
          <w:sz w:val="24"/>
          <w:szCs w:val="24"/>
        </w:rPr>
      </w:pPr>
      <w:r w:rsidRPr="00EB63D4">
        <w:rPr>
          <w:rFonts w:cstheme="minorHAnsi"/>
          <w:sz w:val="24"/>
          <w:szCs w:val="24"/>
        </w:rPr>
        <w:t xml:space="preserve">El texto hace referencia a las casas matriz de las empresas transnacionales respecto a la “omisión de prevenir”, sin establecer claramente su responsabilidad directa en las violaciones de derechos humanos.  </w:t>
      </w:r>
    </w:p>
    <w:p w:rsidR="00D5504B" w:rsidRPr="00EB63D4" w:rsidRDefault="00D5504B" w:rsidP="00D5504B">
      <w:pPr>
        <w:spacing w:after="0" w:line="240" w:lineRule="auto"/>
        <w:rPr>
          <w:rFonts w:eastAsia="Times New Roman" w:cstheme="minorHAnsi"/>
          <w:sz w:val="24"/>
          <w:szCs w:val="24"/>
          <w:lang w:eastAsia="es-ES"/>
        </w:rPr>
      </w:pPr>
      <w:r w:rsidRPr="00EB63D4">
        <w:rPr>
          <w:rFonts w:eastAsia="Times New Roman" w:cstheme="minorHAnsi"/>
          <w:sz w:val="24"/>
          <w:szCs w:val="24"/>
          <w:lang w:eastAsia="es-ES"/>
        </w:rPr>
        <w:t>El tratado vinculante debe prever levantar el velo societario para identificar y establecer las responsabilidades respectivas a lo largo de toda la cadena de valor (y/o  cadena de producción) cuando hay violaciones de derechos humanos.</w:t>
      </w:r>
    </w:p>
    <w:p w:rsidR="00E82A59" w:rsidRPr="00EB63D4" w:rsidRDefault="00E82A59" w:rsidP="00F601EA">
      <w:pPr>
        <w:adjustRightInd w:val="0"/>
        <w:rPr>
          <w:rFonts w:cstheme="minorHAnsi"/>
          <w:sz w:val="24"/>
          <w:szCs w:val="24"/>
        </w:rPr>
      </w:pPr>
      <w:r w:rsidRPr="00EB63D4">
        <w:rPr>
          <w:rFonts w:cstheme="minorHAnsi"/>
          <w:sz w:val="24"/>
          <w:szCs w:val="24"/>
        </w:rPr>
        <w:t>Resulta necesario incluir la responsabilidad solidaria y subsidiaria de las empresas en casos de subcontratación, al estilo de lo previsto en la normativa uruguaya (Ley Nº 18.251)</w:t>
      </w:r>
    </w:p>
    <w:p w:rsidR="00E82A59" w:rsidRPr="00EB63D4" w:rsidRDefault="00EC7E48" w:rsidP="00322D12">
      <w:pPr>
        <w:spacing w:after="0" w:line="240" w:lineRule="auto"/>
        <w:rPr>
          <w:rFonts w:eastAsia="Times New Roman" w:cstheme="minorHAnsi"/>
          <w:sz w:val="24"/>
          <w:szCs w:val="24"/>
          <w:lang w:eastAsia="es-ES"/>
        </w:rPr>
      </w:pPr>
      <w:r w:rsidRPr="00EB63D4">
        <w:rPr>
          <w:rFonts w:eastAsia="Times New Roman" w:cstheme="minorHAnsi"/>
          <w:sz w:val="24"/>
          <w:szCs w:val="24"/>
          <w:lang w:eastAsia="es-ES"/>
        </w:rPr>
        <w:t>Dichas responsabilidades deben incluir a las empresas del sector financiero que proveen de financiamiento a las actividades de otras empresas que puedan afectar los derechos humanos.</w:t>
      </w:r>
    </w:p>
    <w:p w:rsidR="00D5504B" w:rsidRPr="00EB63D4" w:rsidRDefault="00D5504B" w:rsidP="00D5504B">
      <w:pPr>
        <w:spacing w:after="0" w:line="240" w:lineRule="auto"/>
        <w:rPr>
          <w:rFonts w:eastAsia="Times New Roman" w:cstheme="minorHAnsi"/>
          <w:sz w:val="24"/>
          <w:szCs w:val="24"/>
          <w:lang w:eastAsia="es-ES"/>
        </w:rPr>
      </w:pPr>
    </w:p>
    <w:p w:rsidR="00322D12" w:rsidRPr="00EB63D4" w:rsidRDefault="00D5504B" w:rsidP="00D5504B">
      <w:pPr>
        <w:spacing w:after="0" w:line="240" w:lineRule="auto"/>
        <w:rPr>
          <w:rFonts w:eastAsia="Times New Roman" w:cstheme="minorHAnsi"/>
          <w:sz w:val="24"/>
          <w:szCs w:val="24"/>
          <w:lang w:eastAsia="es-ES"/>
        </w:rPr>
      </w:pPr>
      <w:r w:rsidRPr="00EB63D4">
        <w:rPr>
          <w:rFonts w:eastAsia="Times New Roman" w:cstheme="minorHAnsi"/>
          <w:sz w:val="24"/>
          <w:szCs w:val="24"/>
          <w:lang w:eastAsia="es-ES"/>
        </w:rPr>
        <w:t>Se considera también</w:t>
      </w:r>
      <w:r w:rsidR="00322D12" w:rsidRPr="00EB63D4">
        <w:rPr>
          <w:rFonts w:eastAsia="Times New Roman" w:cstheme="minorHAnsi"/>
          <w:sz w:val="24"/>
          <w:szCs w:val="24"/>
          <w:lang w:eastAsia="es-ES"/>
        </w:rPr>
        <w:t xml:space="preserve"> que el tratado vinculante </w:t>
      </w:r>
      <w:r w:rsidRPr="00EB63D4">
        <w:rPr>
          <w:rFonts w:eastAsia="Times New Roman" w:cstheme="minorHAnsi"/>
          <w:sz w:val="24"/>
          <w:szCs w:val="24"/>
          <w:lang w:eastAsia="es-ES"/>
        </w:rPr>
        <w:t xml:space="preserve">debe reforzar </w:t>
      </w:r>
      <w:r w:rsidR="00322D12" w:rsidRPr="00EB63D4">
        <w:rPr>
          <w:rFonts w:eastAsia="Times New Roman" w:cstheme="minorHAnsi"/>
          <w:sz w:val="24"/>
          <w:szCs w:val="24"/>
          <w:lang w:eastAsia="es-ES"/>
        </w:rPr>
        <w:t xml:space="preserve"> la responsabilidad civil penal y administrativa de </w:t>
      </w:r>
      <w:r w:rsidRPr="00EB63D4">
        <w:rPr>
          <w:rFonts w:eastAsia="Times New Roman" w:cstheme="minorHAnsi"/>
          <w:sz w:val="24"/>
          <w:szCs w:val="24"/>
          <w:lang w:eastAsia="es-ES"/>
        </w:rPr>
        <w:t xml:space="preserve">las empresas </w:t>
      </w:r>
      <w:r w:rsidR="00322D12" w:rsidRPr="00EB63D4">
        <w:rPr>
          <w:rFonts w:eastAsia="Times New Roman" w:cstheme="minorHAnsi"/>
          <w:sz w:val="24"/>
          <w:szCs w:val="24"/>
          <w:lang w:eastAsia="es-ES"/>
        </w:rPr>
        <w:t>transnacionales (como personas jurídicas) y de sus directores y personas en altos cargos de toma de decisiones (como personas físicas) en caso de violaciones de derechos humanos.</w:t>
      </w:r>
    </w:p>
    <w:p w:rsidR="00D5504B" w:rsidRPr="00EB63D4" w:rsidRDefault="00D5504B" w:rsidP="00D5504B">
      <w:pPr>
        <w:spacing w:after="0" w:line="240" w:lineRule="auto"/>
        <w:rPr>
          <w:rFonts w:eastAsia="Times New Roman" w:cstheme="minorHAnsi"/>
          <w:b/>
          <w:sz w:val="24"/>
          <w:szCs w:val="24"/>
          <w:lang w:eastAsia="es-ES"/>
        </w:rPr>
      </w:pPr>
    </w:p>
    <w:p w:rsidR="00D5504B" w:rsidRPr="00EB63D4" w:rsidRDefault="00D5504B" w:rsidP="00D5504B">
      <w:pPr>
        <w:spacing w:after="0" w:line="240" w:lineRule="auto"/>
        <w:rPr>
          <w:rFonts w:eastAsia="Times New Roman" w:cstheme="minorHAnsi"/>
          <w:b/>
          <w:sz w:val="24"/>
          <w:szCs w:val="24"/>
          <w:lang w:eastAsia="es-ES"/>
        </w:rPr>
      </w:pPr>
      <w:r w:rsidRPr="00EB63D4">
        <w:rPr>
          <w:rFonts w:eastAsia="Times New Roman" w:cstheme="minorHAnsi"/>
          <w:b/>
          <w:sz w:val="24"/>
          <w:szCs w:val="24"/>
          <w:lang w:eastAsia="es-ES"/>
        </w:rPr>
        <w:t>g. Acceso a la justicia</w:t>
      </w:r>
    </w:p>
    <w:p w:rsidR="00D5504B" w:rsidRPr="00EB63D4" w:rsidRDefault="00D5504B" w:rsidP="00D5504B">
      <w:pPr>
        <w:spacing w:after="0" w:line="240" w:lineRule="auto"/>
        <w:rPr>
          <w:rFonts w:eastAsia="Times New Roman" w:cstheme="minorHAnsi"/>
          <w:sz w:val="24"/>
          <w:szCs w:val="24"/>
          <w:lang w:eastAsia="es-ES"/>
        </w:rPr>
      </w:pPr>
    </w:p>
    <w:p w:rsidR="00D5504B" w:rsidRPr="00BE7AD5" w:rsidRDefault="00D5504B" w:rsidP="00D5504B">
      <w:pPr>
        <w:spacing w:after="0" w:line="240" w:lineRule="auto"/>
        <w:rPr>
          <w:rFonts w:eastAsia="Times New Roman" w:cstheme="minorHAnsi"/>
          <w:sz w:val="24"/>
          <w:szCs w:val="24"/>
          <w:lang w:eastAsia="es-ES"/>
        </w:rPr>
      </w:pPr>
      <w:r w:rsidRPr="00EB63D4">
        <w:rPr>
          <w:rFonts w:eastAsia="Times New Roman" w:cstheme="minorHAnsi"/>
          <w:sz w:val="24"/>
          <w:szCs w:val="24"/>
          <w:lang w:eastAsia="es-ES"/>
        </w:rPr>
        <w:t xml:space="preserve">Se considera que el </w:t>
      </w:r>
      <w:r w:rsidR="00322D12" w:rsidRPr="00EB63D4">
        <w:rPr>
          <w:rFonts w:eastAsia="Times New Roman" w:cstheme="minorHAnsi"/>
          <w:sz w:val="24"/>
          <w:szCs w:val="24"/>
          <w:lang w:eastAsia="es-ES"/>
        </w:rPr>
        <w:t>tratado vinculante</w:t>
      </w:r>
      <w:r w:rsidRPr="00EB63D4">
        <w:rPr>
          <w:rFonts w:eastAsia="Times New Roman" w:cstheme="minorHAnsi"/>
          <w:sz w:val="24"/>
          <w:szCs w:val="24"/>
          <w:lang w:eastAsia="es-ES"/>
        </w:rPr>
        <w:t xml:space="preserve"> debe</w:t>
      </w:r>
      <w:r w:rsidR="00322D12" w:rsidRPr="00EB63D4">
        <w:rPr>
          <w:rFonts w:eastAsia="Times New Roman" w:cstheme="minorHAnsi"/>
          <w:sz w:val="24"/>
          <w:szCs w:val="24"/>
          <w:lang w:eastAsia="es-ES"/>
        </w:rPr>
        <w:t xml:space="preserve"> facilit</w:t>
      </w:r>
      <w:r w:rsidRPr="00EB63D4">
        <w:rPr>
          <w:rFonts w:eastAsia="Times New Roman" w:cstheme="minorHAnsi"/>
          <w:sz w:val="24"/>
          <w:szCs w:val="24"/>
          <w:lang w:eastAsia="es-ES"/>
        </w:rPr>
        <w:t>ar</w:t>
      </w:r>
      <w:r w:rsidR="00322D12" w:rsidRPr="00EB63D4">
        <w:rPr>
          <w:rFonts w:eastAsia="Times New Roman" w:cstheme="minorHAnsi"/>
          <w:sz w:val="24"/>
          <w:szCs w:val="24"/>
          <w:lang w:eastAsia="es-ES"/>
        </w:rPr>
        <w:t xml:space="preserve"> y ampl</w:t>
      </w:r>
      <w:r w:rsidRPr="00EB63D4">
        <w:rPr>
          <w:rFonts w:eastAsia="Times New Roman" w:cstheme="minorHAnsi"/>
          <w:sz w:val="24"/>
          <w:szCs w:val="24"/>
          <w:lang w:eastAsia="es-ES"/>
        </w:rPr>
        <w:t>iar</w:t>
      </w:r>
      <w:r w:rsidR="00322D12" w:rsidRPr="00EB63D4">
        <w:rPr>
          <w:rFonts w:eastAsia="Times New Roman" w:cstheme="minorHAnsi"/>
          <w:sz w:val="24"/>
          <w:szCs w:val="24"/>
          <w:lang w:eastAsia="es-ES"/>
        </w:rPr>
        <w:t xml:space="preserve"> el acceso a la justicia de las personas, colect</w:t>
      </w:r>
      <w:r w:rsidR="003B563C" w:rsidRPr="00EB63D4">
        <w:rPr>
          <w:rFonts w:eastAsia="Times New Roman" w:cstheme="minorHAnsi"/>
          <w:sz w:val="24"/>
          <w:szCs w:val="24"/>
          <w:lang w:eastAsia="es-ES"/>
        </w:rPr>
        <w:t>ivos y comunidades afe</w:t>
      </w:r>
      <w:r w:rsidRPr="00EB63D4">
        <w:rPr>
          <w:rFonts w:eastAsia="Times New Roman" w:cstheme="minorHAnsi"/>
          <w:sz w:val="24"/>
          <w:szCs w:val="24"/>
          <w:lang w:eastAsia="es-ES"/>
        </w:rPr>
        <w:t>ctadas</w:t>
      </w:r>
      <w:r w:rsidR="00322D12" w:rsidRPr="00EB63D4">
        <w:rPr>
          <w:rFonts w:eastAsia="Times New Roman" w:cstheme="minorHAnsi"/>
          <w:sz w:val="24"/>
          <w:szCs w:val="24"/>
          <w:lang w:eastAsia="es-ES"/>
        </w:rPr>
        <w:t xml:space="preserve"> por violaciones de derechos </w:t>
      </w:r>
      <w:r w:rsidR="00322D12" w:rsidRPr="00BE7AD5">
        <w:rPr>
          <w:rFonts w:eastAsia="Times New Roman" w:cstheme="minorHAnsi"/>
          <w:sz w:val="24"/>
          <w:szCs w:val="24"/>
          <w:lang w:eastAsia="es-ES"/>
        </w:rPr>
        <w:t>humanos por </w:t>
      </w:r>
      <w:r w:rsidR="00322D12" w:rsidRPr="00BE7AD5">
        <w:rPr>
          <w:rFonts w:eastAsia="Times New Roman" w:cstheme="minorHAnsi"/>
          <w:sz w:val="24"/>
          <w:szCs w:val="24"/>
          <w:shd w:val="clear" w:color="auto" w:fill="FFFEC4"/>
          <w:lang w:eastAsia="es-ES"/>
        </w:rPr>
        <w:t>empresas</w:t>
      </w:r>
      <w:r w:rsidR="00322D12" w:rsidRPr="00BE7AD5">
        <w:rPr>
          <w:rFonts w:eastAsia="Times New Roman" w:cstheme="minorHAnsi"/>
          <w:sz w:val="24"/>
          <w:szCs w:val="24"/>
          <w:lang w:eastAsia="es-ES"/>
        </w:rPr>
        <w:t> transnacion</w:t>
      </w:r>
      <w:r w:rsidRPr="00BE7AD5">
        <w:rPr>
          <w:rFonts w:eastAsia="Times New Roman" w:cstheme="minorHAnsi"/>
          <w:sz w:val="24"/>
          <w:szCs w:val="24"/>
          <w:lang w:eastAsia="es-ES"/>
        </w:rPr>
        <w:t>ales y sus cadenas de valor</w:t>
      </w:r>
      <w:r w:rsidR="00322D12" w:rsidRPr="00BE7AD5">
        <w:rPr>
          <w:rFonts w:eastAsia="Times New Roman" w:cstheme="minorHAnsi"/>
          <w:sz w:val="24"/>
          <w:szCs w:val="24"/>
          <w:lang w:eastAsia="es-ES"/>
        </w:rPr>
        <w:t xml:space="preserve">, </w:t>
      </w:r>
      <w:r w:rsidRPr="00BE7AD5">
        <w:rPr>
          <w:rFonts w:eastAsia="Times New Roman" w:cstheme="minorHAnsi"/>
          <w:sz w:val="24"/>
          <w:szCs w:val="24"/>
          <w:lang w:eastAsia="es-ES"/>
        </w:rPr>
        <w:t>por lo que se debe considerar que la carga de la prueba corresponda a las empresas, así como</w:t>
      </w:r>
      <w:r w:rsidR="00322D12" w:rsidRPr="00BE7AD5">
        <w:rPr>
          <w:rFonts w:eastAsia="Times New Roman" w:cstheme="minorHAnsi"/>
          <w:sz w:val="24"/>
          <w:szCs w:val="24"/>
          <w:lang w:eastAsia="es-ES"/>
        </w:rPr>
        <w:t xml:space="preserve"> </w:t>
      </w:r>
      <w:r w:rsidRPr="00BE7AD5">
        <w:rPr>
          <w:rFonts w:eastAsia="Times New Roman" w:cstheme="minorHAnsi"/>
          <w:sz w:val="24"/>
          <w:szCs w:val="24"/>
          <w:lang w:eastAsia="es-ES"/>
        </w:rPr>
        <w:t>que se posibilite que las personas puedan presentar demandas en cualquiera de los tribunales de los países en que la empresa tenga algún tipo de actividad</w:t>
      </w:r>
      <w:r w:rsidR="003B563C" w:rsidRPr="00BE7AD5">
        <w:rPr>
          <w:rFonts w:eastAsia="Times New Roman" w:cstheme="minorHAnsi"/>
          <w:sz w:val="24"/>
          <w:szCs w:val="24"/>
          <w:lang w:eastAsia="es-ES"/>
        </w:rPr>
        <w:t>, así como en los tribunales internacionales que se definan.</w:t>
      </w:r>
    </w:p>
    <w:p w:rsidR="00D5504B" w:rsidRPr="00BE7AD5" w:rsidRDefault="00D5504B" w:rsidP="00D5504B">
      <w:pPr>
        <w:spacing w:after="0" w:line="240" w:lineRule="auto"/>
        <w:rPr>
          <w:rFonts w:eastAsia="Times New Roman" w:cstheme="minorHAnsi"/>
          <w:sz w:val="24"/>
          <w:szCs w:val="24"/>
          <w:lang w:eastAsia="es-ES"/>
        </w:rPr>
      </w:pPr>
    </w:p>
    <w:p w:rsidR="00EB63D4" w:rsidRPr="00EB63D4" w:rsidRDefault="003B563C" w:rsidP="00EB63D4">
      <w:pPr>
        <w:spacing w:after="0" w:line="240" w:lineRule="auto"/>
        <w:rPr>
          <w:rFonts w:eastAsia="Times New Roman" w:cstheme="minorHAnsi"/>
          <w:sz w:val="24"/>
          <w:szCs w:val="24"/>
          <w:lang w:eastAsia="es-ES"/>
        </w:rPr>
      </w:pPr>
      <w:r w:rsidRPr="00BE7AD5">
        <w:rPr>
          <w:rFonts w:eastAsia="Times New Roman" w:cstheme="minorHAnsi"/>
          <w:sz w:val="24"/>
          <w:szCs w:val="24"/>
          <w:lang w:eastAsia="es-ES"/>
        </w:rPr>
        <w:t xml:space="preserve">Por otro lado, se debe considerar </w:t>
      </w:r>
      <w:r w:rsidR="00322D12" w:rsidRPr="00BE7AD5">
        <w:rPr>
          <w:rFonts w:eastAsia="Times New Roman" w:cstheme="minorHAnsi"/>
          <w:sz w:val="24"/>
          <w:szCs w:val="24"/>
          <w:lang w:eastAsia="es-ES"/>
        </w:rPr>
        <w:t>que el tratado vinculante incluya disposiciones que impidan la injerencia indebida de las </w:t>
      </w:r>
      <w:r w:rsidR="00322D12" w:rsidRPr="00BE7AD5">
        <w:rPr>
          <w:rFonts w:eastAsia="Times New Roman" w:cstheme="minorHAnsi"/>
          <w:sz w:val="24"/>
          <w:szCs w:val="24"/>
          <w:shd w:val="clear" w:color="auto" w:fill="FFFEC4"/>
          <w:lang w:eastAsia="es-ES"/>
        </w:rPr>
        <w:t>empresas</w:t>
      </w:r>
      <w:r w:rsidR="00322D12" w:rsidRPr="00BE7AD5">
        <w:rPr>
          <w:rFonts w:eastAsia="Times New Roman" w:cstheme="minorHAnsi"/>
          <w:sz w:val="24"/>
          <w:szCs w:val="24"/>
          <w:lang w:eastAsia="es-ES"/>
        </w:rPr>
        <w:t> transnaciona</w:t>
      </w:r>
      <w:r w:rsidRPr="00BE7AD5">
        <w:rPr>
          <w:rFonts w:eastAsia="Times New Roman" w:cstheme="minorHAnsi"/>
          <w:sz w:val="24"/>
          <w:szCs w:val="24"/>
          <w:lang w:eastAsia="es-ES"/>
        </w:rPr>
        <w:t>les</w:t>
      </w:r>
      <w:r w:rsidRPr="00EB63D4">
        <w:rPr>
          <w:rFonts w:eastAsia="Times New Roman" w:cstheme="minorHAnsi"/>
          <w:sz w:val="24"/>
          <w:szCs w:val="24"/>
          <w:lang w:eastAsia="es-ES"/>
        </w:rPr>
        <w:t xml:space="preserve"> en cualqui</w:t>
      </w:r>
      <w:r w:rsidR="00322D12" w:rsidRPr="00EB63D4">
        <w:rPr>
          <w:rFonts w:eastAsia="Times New Roman" w:cstheme="minorHAnsi"/>
          <w:sz w:val="24"/>
          <w:szCs w:val="24"/>
          <w:lang w:eastAsia="es-ES"/>
        </w:rPr>
        <w:t>er proceso asociado a</w:t>
      </w:r>
      <w:r w:rsidRPr="00EB63D4">
        <w:rPr>
          <w:rFonts w:eastAsia="Times New Roman" w:cstheme="minorHAnsi"/>
          <w:sz w:val="24"/>
          <w:szCs w:val="24"/>
          <w:lang w:eastAsia="es-ES"/>
        </w:rPr>
        <w:t xml:space="preserve"> su ámbito de aplicación (semejante</w:t>
      </w:r>
      <w:r w:rsidR="00322D12" w:rsidRPr="00EB63D4">
        <w:rPr>
          <w:rFonts w:eastAsia="Times New Roman" w:cstheme="minorHAnsi"/>
          <w:sz w:val="24"/>
          <w:szCs w:val="24"/>
          <w:lang w:eastAsia="es-ES"/>
        </w:rPr>
        <w:t xml:space="preserve"> al artículo 5.3 del Convenio Marco de la OMS para el Control del Tabaco).  </w:t>
      </w:r>
    </w:p>
    <w:p w:rsidR="00EB63D4" w:rsidRPr="00EB63D4" w:rsidRDefault="00EB63D4" w:rsidP="00EB63D4">
      <w:pPr>
        <w:spacing w:after="0" w:line="240" w:lineRule="auto"/>
        <w:rPr>
          <w:rFonts w:eastAsia="Times New Roman" w:cstheme="minorHAnsi"/>
          <w:sz w:val="24"/>
          <w:szCs w:val="24"/>
          <w:lang w:eastAsia="es-ES"/>
        </w:rPr>
      </w:pPr>
    </w:p>
    <w:p w:rsidR="00EB63D4" w:rsidRPr="00EB63D4" w:rsidRDefault="00EB63D4" w:rsidP="00EB63D4">
      <w:pPr>
        <w:spacing w:after="0" w:line="240" w:lineRule="auto"/>
        <w:rPr>
          <w:rFonts w:eastAsia="Times New Roman" w:cstheme="minorHAnsi"/>
          <w:sz w:val="24"/>
          <w:szCs w:val="24"/>
          <w:lang w:eastAsia="es-ES"/>
        </w:rPr>
      </w:pPr>
      <w:r w:rsidRPr="00EB63D4">
        <w:rPr>
          <w:rFonts w:eastAsia="Times New Roman" w:cstheme="minorHAnsi"/>
          <w:sz w:val="24"/>
          <w:szCs w:val="24"/>
          <w:lang w:eastAsia="es-ES"/>
        </w:rPr>
        <w:t>En este sentido, el Tratado Vinculante debería establecer el desarrollo de p</w:t>
      </w:r>
      <w:r w:rsidR="0088293F">
        <w:rPr>
          <w:rFonts w:eastAsia="Times New Roman" w:cstheme="minorHAnsi"/>
          <w:sz w:val="24"/>
          <w:szCs w:val="24"/>
          <w:lang w:eastAsia="es-ES"/>
        </w:rPr>
        <w:t>olíticas para garantizar que</w:t>
      </w:r>
      <w:r w:rsidRPr="00EB63D4">
        <w:rPr>
          <w:rFonts w:eastAsia="Times New Roman" w:cstheme="minorHAnsi"/>
          <w:sz w:val="24"/>
          <w:szCs w:val="24"/>
          <w:lang w:eastAsia="es-ES"/>
        </w:rPr>
        <w:t xml:space="preserve"> las personas que toman decisiones relacionadas a actividades empresariales</w:t>
      </w:r>
      <w:r w:rsidR="0088293F">
        <w:rPr>
          <w:rFonts w:eastAsia="Times New Roman" w:cstheme="minorHAnsi"/>
          <w:sz w:val="24"/>
          <w:szCs w:val="24"/>
          <w:lang w:eastAsia="es-ES"/>
        </w:rPr>
        <w:t xml:space="preserve"> no presenten</w:t>
      </w:r>
      <w:r w:rsidR="0088293F" w:rsidRPr="00EB63D4">
        <w:rPr>
          <w:rFonts w:eastAsia="Times New Roman" w:cstheme="minorHAnsi"/>
          <w:sz w:val="24"/>
          <w:szCs w:val="24"/>
          <w:lang w:eastAsia="es-ES"/>
        </w:rPr>
        <w:t xml:space="preserve"> conflictos de intereses</w:t>
      </w:r>
      <w:r w:rsidR="0088293F">
        <w:rPr>
          <w:rFonts w:eastAsia="Times New Roman" w:cstheme="minorHAnsi"/>
          <w:sz w:val="24"/>
          <w:szCs w:val="24"/>
          <w:lang w:eastAsia="es-ES"/>
        </w:rPr>
        <w:t>. En especial, se debe asegurar el desempeño imparcial y objetivo en las investigaciones de</w:t>
      </w:r>
      <w:r w:rsidR="0088293F" w:rsidRPr="00EB63D4">
        <w:rPr>
          <w:rFonts w:eastAsia="Times New Roman" w:cstheme="minorHAnsi"/>
          <w:sz w:val="24"/>
          <w:szCs w:val="24"/>
          <w:lang w:eastAsia="es-ES"/>
        </w:rPr>
        <w:t xml:space="preserve"> posibles violaciones de derechos humanos</w:t>
      </w:r>
      <w:r w:rsidR="0088293F">
        <w:rPr>
          <w:rFonts w:eastAsia="Times New Roman" w:cstheme="minorHAnsi"/>
          <w:sz w:val="24"/>
          <w:szCs w:val="24"/>
          <w:lang w:eastAsia="es-ES"/>
        </w:rPr>
        <w:t xml:space="preserve"> relacionadas a actividades de empresas transnacionales.</w:t>
      </w:r>
    </w:p>
    <w:p w:rsidR="0088293F" w:rsidRDefault="0088293F" w:rsidP="00F601EA">
      <w:pPr>
        <w:adjustRightInd w:val="0"/>
        <w:rPr>
          <w:rFonts w:ascii="Segoe UI" w:hAnsi="Segoe UI" w:cs="Segoe UI"/>
          <w:i/>
          <w:iCs/>
          <w:color w:val="000000"/>
          <w:sz w:val="21"/>
          <w:szCs w:val="21"/>
          <w:shd w:val="clear" w:color="auto" w:fill="FFFFFF"/>
        </w:rPr>
      </w:pPr>
    </w:p>
    <w:p w:rsidR="00C80F9D" w:rsidRPr="00EB63D4" w:rsidRDefault="00C80F9D" w:rsidP="00DC3711">
      <w:pPr>
        <w:ind w:left="360"/>
        <w:rPr>
          <w:rFonts w:cstheme="minorHAnsi"/>
          <w:sz w:val="24"/>
          <w:szCs w:val="24"/>
        </w:rPr>
      </w:pPr>
    </w:p>
    <w:sectPr w:rsidR="00C80F9D" w:rsidRPr="00EB63D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513" w:rsidRDefault="00E35513" w:rsidP="00473C0B">
      <w:pPr>
        <w:spacing w:after="0" w:line="240" w:lineRule="auto"/>
      </w:pPr>
      <w:r>
        <w:separator/>
      </w:r>
    </w:p>
  </w:endnote>
  <w:endnote w:type="continuationSeparator" w:id="0">
    <w:p w:rsidR="00E35513" w:rsidRDefault="00E35513" w:rsidP="00473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513" w:rsidRDefault="00E35513" w:rsidP="00473C0B">
      <w:pPr>
        <w:spacing w:after="0" w:line="240" w:lineRule="auto"/>
      </w:pPr>
      <w:r>
        <w:separator/>
      </w:r>
    </w:p>
  </w:footnote>
  <w:footnote w:type="continuationSeparator" w:id="0">
    <w:p w:rsidR="00E35513" w:rsidRDefault="00E35513" w:rsidP="00473C0B">
      <w:pPr>
        <w:spacing w:after="0" w:line="240" w:lineRule="auto"/>
      </w:pPr>
      <w:r>
        <w:continuationSeparator/>
      </w:r>
    </w:p>
  </w:footnote>
  <w:footnote w:id="1">
    <w:p w:rsidR="00C80F9D" w:rsidRPr="00C80F9D" w:rsidRDefault="00C80F9D">
      <w:pPr>
        <w:pStyle w:val="Textonotapie"/>
        <w:rPr>
          <w:lang w:val="es-ES"/>
        </w:rPr>
      </w:pPr>
      <w:r>
        <w:rPr>
          <w:rStyle w:val="Refdenotaalpie"/>
        </w:rPr>
        <w:footnoteRef/>
      </w:r>
      <w:r>
        <w:t xml:space="preserve"> </w:t>
      </w:r>
      <w:r>
        <w:rPr>
          <w:lang w:val="es-ES"/>
        </w:rPr>
        <w:t>Barreto, Hugo.</w:t>
      </w:r>
    </w:p>
  </w:footnote>
  <w:footnote w:id="2">
    <w:p w:rsidR="001F004E" w:rsidRPr="001F004E" w:rsidRDefault="001F004E">
      <w:pPr>
        <w:pStyle w:val="Textonotapie"/>
        <w:rPr>
          <w:lang w:val="es-ES"/>
        </w:rPr>
      </w:pPr>
      <w:r>
        <w:rPr>
          <w:rStyle w:val="Refdenotaalpie"/>
        </w:rPr>
        <w:footnoteRef/>
      </w:r>
      <w:r>
        <w:t xml:space="preserve"> </w:t>
      </w:r>
      <w:r>
        <w:rPr>
          <w:lang w:val="es-ES"/>
        </w:rPr>
        <w:t>Barreto, Hugo.</w:t>
      </w:r>
    </w:p>
  </w:footnote>
  <w:footnote w:id="3">
    <w:p w:rsidR="00F601EA" w:rsidRPr="007B688E" w:rsidRDefault="00F601EA" w:rsidP="00F601EA">
      <w:pPr>
        <w:pStyle w:val="Textonotapie"/>
        <w:rPr>
          <w:lang w:val="es-419"/>
        </w:rPr>
      </w:pPr>
      <w:r>
        <w:rPr>
          <w:rStyle w:val="Refdenotaalpie"/>
        </w:rPr>
        <w:footnoteRef/>
      </w:r>
      <w:r w:rsidRPr="008A382F">
        <w:rPr>
          <w:lang w:val="es-419"/>
        </w:rPr>
        <w:t xml:space="preserve"> </w:t>
      </w:r>
      <w:r>
        <w:rPr>
          <w:lang w:val="es-419"/>
        </w:rPr>
        <w:t>Barretto Ghione. H (2021). “Limitaciones de la noción de diligencia debida en materia laboral”. Rev. DERECHO LABORAL, T 64, NÚM. 281. FCU</w:t>
      </w:r>
    </w:p>
  </w:footnote>
  <w:footnote w:id="4">
    <w:p w:rsidR="00F601EA" w:rsidRPr="00F601EA" w:rsidRDefault="00F601EA">
      <w:pPr>
        <w:pStyle w:val="Textonotapie"/>
        <w:rPr>
          <w:lang w:val="es-ES"/>
        </w:rPr>
      </w:pPr>
      <w:r>
        <w:rPr>
          <w:rStyle w:val="Refdenotaalpie"/>
        </w:rPr>
        <w:footnoteRef/>
      </w:r>
      <w:r>
        <w:t xml:space="preserve"> </w:t>
      </w:r>
      <w:r>
        <w:rPr>
          <w:lang w:val="es-ES"/>
        </w:rPr>
        <w:t>Barreto, Hugo.</w:t>
      </w:r>
    </w:p>
  </w:footnote>
  <w:footnote w:id="5">
    <w:p w:rsidR="00371D69" w:rsidRPr="00371D69" w:rsidRDefault="00371D69">
      <w:pPr>
        <w:pStyle w:val="Textonotapie"/>
        <w:rPr>
          <w:lang w:val="es-ES"/>
        </w:rPr>
      </w:pPr>
      <w:r>
        <w:rPr>
          <w:rStyle w:val="Refdenotaalpie"/>
        </w:rPr>
        <w:footnoteRef/>
      </w:r>
      <w:r>
        <w:t xml:space="preserve"> </w:t>
      </w:r>
      <w:r>
        <w:rPr>
          <w:lang w:val="es-ES"/>
        </w:rPr>
        <w:t>Barreto, Hugo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E6B"/>
    <w:multiLevelType w:val="hybridMultilevel"/>
    <w:tmpl w:val="D9C01C3A"/>
    <w:lvl w:ilvl="0" w:tplc="42FE62AC">
      <w:start w:val="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85601F"/>
    <w:multiLevelType w:val="hybridMultilevel"/>
    <w:tmpl w:val="F1F85C7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2C3063F"/>
    <w:multiLevelType w:val="hybridMultilevel"/>
    <w:tmpl w:val="7850078C"/>
    <w:lvl w:ilvl="0" w:tplc="4192C9D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9F27CCC"/>
    <w:multiLevelType w:val="hybridMultilevel"/>
    <w:tmpl w:val="186A1C7C"/>
    <w:lvl w:ilvl="0" w:tplc="C4E89A68">
      <w:start w:val="1"/>
      <w:numFmt w:val="decimal"/>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1211D1A"/>
    <w:multiLevelType w:val="hybridMultilevel"/>
    <w:tmpl w:val="41C45518"/>
    <w:lvl w:ilvl="0" w:tplc="E350FE56">
      <w:start w:val="1"/>
      <w:numFmt w:val="bullet"/>
      <w:lvlText w:val="–"/>
      <w:lvlJc w:val="left"/>
      <w:pPr>
        <w:tabs>
          <w:tab w:val="num" w:pos="720"/>
        </w:tabs>
        <w:ind w:left="720" w:hanging="360"/>
      </w:pPr>
      <w:rPr>
        <w:rFonts w:ascii="Times New Roman" w:hAnsi="Times New Roman" w:hint="default"/>
      </w:rPr>
    </w:lvl>
    <w:lvl w:ilvl="1" w:tplc="EA2092FE">
      <w:start w:val="1"/>
      <w:numFmt w:val="bullet"/>
      <w:lvlText w:val="–"/>
      <w:lvlJc w:val="left"/>
      <w:pPr>
        <w:tabs>
          <w:tab w:val="num" w:pos="1440"/>
        </w:tabs>
        <w:ind w:left="1440" w:hanging="360"/>
      </w:pPr>
      <w:rPr>
        <w:rFonts w:ascii="Times New Roman" w:hAnsi="Times New Roman" w:hint="default"/>
      </w:rPr>
    </w:lvl>
    <w:lvl w:ilvl="2" w:tplc="C8026D8E" w:tentative="1">
      <w:start w:val="1"/>
      <w:numFmt w:val="bullet"/>
      <w:lvlText w:val="–"/>
      <w:lvlJc w:val="left"/>
      <w:pPr>
        <w:tabs>
          <w:tab w:val="num" w:pos="2160"/>
        </w:tabs>
        <w:ind w:left="2160" w:hanging="360"/>
      </w:pPr>
      <w:rPr>
        <w:rFonts w:ascii="Times New Roman" w:hAnsi="Times New Roman" w:hint="default"/>
      </w:rPr>
    </w:lvl>
    <w:lvl w:ilvl="3" w:tplc="4C0AA32C" w:tentative="1">
      <w:start w:val="1"/>
      <w:numFmt w:val="bullet"/>
      <w:lvlText w:val="–"/>
      <w:lvlJc w:val="left"/>
      <w:pPr>
        <w:tabs>
          <w:tab w:val="num" w:pos="2880"/>
        </w:tabs>
        <w:ind w:left="2880" w:hanging="360"/>
      </w:pPr>
      <w:rPr>
        <w:rFonts w:ascii="Times New Roman" w:hAnsi="Times New Roman" w:hint="default"/>
      </w:rPr>
    </w:lvl>
    <w:lvl w:ilvl="4" w:tplc="74FED93E" w:tentative="1">
      <w:start w:val="1"/>
      <w:numFmt w:val="bullet"/>
      <w:lvlText w:val="–"/>
      <w:lvlJc w:val="left"/>
      <w:pPr>
        <w:tabs>
          <w:tab w:val="num" w:pos="3600"/>
        </w:tabs>
        <w:ind w:left="3600" w:hanging="360"/>
      </w:pPr>
      <w:rPr>
        <w:rFonts w:ascii="Times New Roman" w:hAnsi="Times New Roman" w:hint="default"/>
      </w:rPr>
    </w:lvl>
    <w:lvl w:ilvl="5" w:tplc="B298E474" w:tentative="1">
      <w:start w:val="1"/>
      <w:numFmt w:val="bullet"/>
      <w:lvlText w:val="–"/>
      <w:lvlJc w:val="left"/>
      <w:pPr>
        <w:tabs>
          <w:tab w:val="num" w:pos="4320"/>
        </w:tabs>
        <w:ind w:left="4320" w:hanging="360"/>
      </w:pPr>
      <w:rPr>
        <w:rFonts w:ascii="Times New Roman" w:hAnsi="Times New Roman" w:hint="default"/>
      </w:rPr>
    </w:lvl>
    <w:lvl w:ilvl="6" w:tplc="B0CAEAA2" w:tentative="1">
      <w:start w:val="1"/>
      <w:numFmt w:val="bullet"/>
      <w:lvlText w:val="–"/>
      <w:lvlJc w:val="left"/>
      <w:pPr>
        <w:tabs>
          <w:tab w:val="num" w:pos="5040"/>
        </w:tabs>
        <w:ind w:left="5040" w:hanging="360"/>
      </w:pPr>
      <w:rPr>
        <w:rFonts w:ascii="Times New Roman" w:hAnsi="Times New Roman" w:hint="default"/>
      </w:rPr>
    </w:lvl>
    <w:lvl w:ilvl="7" w:tplc="CB4CBE18" w:tentative="1">
      <w:start w:val="1"/>
      <w:numFmt w:val="bullet"/>
      <w:lvlText w:val="–"/>
      <w:lvlJc w:val="left"/>
      <w:pPr>
        <w:tabs>
          <w:tab w:val="num" w:pos="5760"/>
        </w:tabs>
        <w:ind w:left="5760" w:hanging="360"/>
      </w:pPr>
      <w:rPr>
        <w:rFonts w:ascii="Times New Roman" w:hAnsi="Times New Roman" w:hint="default"/>
      </w:rPr>
    </w:lvl>
    <w:lvl w:ilvl="8" w:tplc="4A4E26B2" w:tentative="1">
      <w:start w:val="1"/>
      <w:numFmt w:val="bullet"/>
      <w:lvlText w:val="–"/>
      <w:lvlJc w:val="left"/>
      <w:pPr>
        <w:tabs>
          <w:tab w:val="num" w:pos="6480"/>
        </w:tabs>
        <w:ind w:left="6480" w:hanging="360"/>
      </w:pPr>
      <w:rPr>
        <w:rFonts w:ascii="Times New Roman" w:hAnsi="Times New Roman" w:hint="default"/>
      </w:rPr>
    </w:lvl>
  </w:abstractNum>
  <w:abstractNum w:abstractNumId="5">
    <w:nsid w:val="215B6B15"/>
    <w:multiLevelType w:val="multilevel"/>
    <w:tmpl w:val="9BC8BDD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3B0B5E5F"/>
    <w:multiLevelType w:val="hybridMultilevel"/>
    <w:tmpl w:val="358822F6"/>
    <w:lvl w:ilvl="0" w:tplc="825472A4">
      <w:start w:val="1"/>
      <w:numFmt w:val="bullet"/>
      <w:lvlText w:val="–"/>
      <w:lvlJc w:val="left"/>
      <w:pPr>
        <w:tabs>
          <w:tab w:val="num" w:pos="720"/>
        </w:tabs>
        <w:ind w:left="720" w:hanging="360"/>
      </w:pPr>
      <w:rPr>
        <w:rFonts w:ascii="Times New Roman" w:hAnsi="Times New Roman" w:hint="default"/>
      </w:rPr>
    </w:lvl>
    <w:lvl w:ilvl="1" w:tplc="9F180D46">
      <w:start w:val="1"/>
      <w:numFmt w:val="bullet"/>
      <w:lvlText w:val="–"/>
      <w:lvlJc w:val="left"/>
      <w:pPr>
        <w:tabs>
          <w:tab w:val="num" w:pos="1440"/>
        </w:tabs>
        <w:ind w:left="1440" w:hanging="360"/>
      </w:pPr>
      <w:rPr>
        <w:rFonts w:ascii="Times New Roman" w:hAnsi="Times New Roman" w:hint="default"/>
      </w:rPr>
    </w:lvl>
    <w:lvl w:ilvl="2" w:tplc="92F8BC4A" w:tentative="1">
      <w:start w:val="1"/>
      <w:numFmt w:val="bullet"/>
      <w:lvlText w:val="–"/>
      <w:lvlJc w:val="left"/>
      <w:pPr>
        <w:tabs>
          <w:tab w:val="num" w:pos="2160"/>
        </w:tabs>
        <w:ind w:left="2160" w:hanging="360"/>
      </w:pPr>
      <w:rPr>
        <w:rFonts w:ascii="Times New Roman" w:hAnsi="Times New Roman" w:hint="default"/>
      </w:rPr>
    </w:lvl>
    <w:lvl w:ilvl="3" w:tplc="E53E1C26" w:tentative="1">
      <w:start w:val="1"/>
      <w:numFmt w:val="bullet"/>
      <w:lvlText w:val="–"/>
      <w:lvlJc w:val="left"/>
      <w:pPr>
        <w:tabs>
          <w:tab w:val="num" w:pos="2880"/>
        </w:tabs>
        <w:ind w:left="2880" w:hanging="360"/>
      </w:pPr>
      <w:rPr>
        <w:rFonts w:ascii="Times New Roman" w:hAnsi="Times New Roman" w:hint="default"/>
      </w:rPr>
    </w:lvl>
    <w:lvl w:ilvl="4" w:tplc="45DEB568" w:tentative="1">
      <w:start w:val="1"/>
      <w:numFmt w:val="bullet"/>
      <w:lvlText w:val="–"/>
      <w:lvlJc w:val="left"/>
      <w:pPr>
        <w:tabs>
          <w:tab w:val="num" w:pos="3600"/>
        </w:tabs>
        <w:ind w:left="3600" w:hanging="360"/>
      </w:pPr>
      <w:rPr>
        <w:rFonts w:ascii="Times New Roman" w:hAnsi="Times New Roman" w:hint="default"/>
      </w:rPr>
    </w:lvl>
    <w:lvl w:ilvl="5" w:tplc="FB045EB2" w:tentative="1">
      <w:start w:val="1"/>
      <w:numFmt w:val="bullet"/>
      <w:lvlText w:val="–"/>
      <w:lvlJc w:val="left"/>
      <w:pPr>
        <w:tabs>
          <w:tab w:val="num" w:pos="4320"/>
        </w:tabs>
        <w:ind w:left="4320" w:hanging="360"/>
      </w:pPr>
      <w:rPr>
        <w:rFonts w:ascii="Times New Roman" w:hAnsi="Times New Roman" w:hint="default"/>
      </w:rPr>
    </w:lvl>
    <w:lvl w:ilvl="6" w:tplc="6FE06C8E" w:tentative="1">
      <w:start w:val="1"/>
      <w:numFmt w:val="bullet"/>
      <w:lvlText w:val="–"/>
      <w:lvlJc w:val="left"/>
      <w:pPr>
        <w:tabs>
          <w:tab w:val="num" w:pos="5040"/>
        </w:tabs>
        <w:ind w:left="5040" w:hanging="360"/>
      </w:pPr>
      <w:rPr>
        <w:rFonts w:ascii="Times New Roman" w:hAnsi="Times New Roman" w:hint="default"/>
      </w:rPr>
    </w:lvl>
    <w:lvl w:ilvl="7" w:tplc="0C902B88" w:tentative="1">
      <w:start w:val="1"/>
      <w:numFmt w:val="bullet"/>
      <w:lvlText w:val="–"/>
      <w:lvlJc w:val="left"/>
      <w:pPr>
        <w:tabs>
          <w:tab w:val="num" w:pos="5760"/>
        </w:tabs>
        <w:ind w:left="5760" w:hanging="360"/>
      </w:pPr>
      <w:rPr>
        <w:rFonts w:ascii="Times New Roman" w:hAnsi="Times New Roman" w:hint="default"/>
      </w:rPr>
    </w:lvl>
    <w:lvl w:ilvl="8" w:tplc="7ABCFB70" w:tentative="1">
      <w:start w:val="1"/>
      <w:numFmt w:val="bullet"/>
      <w:lvlText w:val="–"/>
      <w:lvlJc w:val="left"/>
      <w:pPr>
        <w:tabs>
          <w:tab w:val="num" w:pos="6480"/>
        </w:tabs>
        <w:ind w:left="6480" w:hanging="360"/>
      </w:pPr>
      <w:rPr>
        <w:rFonts w:ascii="Times New Roman" w:hAnsi="Times New Roman" w:hint="default"/>
      </w:rPr>
    </w:lvl>
  </w:abstractNum>
  <w:abstractNum w:abstractNumId="7">
    <w:nsid w:val="61925B7B"/>
    <w:multiLevelType w:val="hybridMultilevel"/>
    <w:tmpl w:val="A99E9D7A"/>
    <w:lvl w:ilvl="0" w:tplc="1092ECA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9B46F2B"/>
    <w:multiLevelType w:val="hybridMultilevel"/>
    <w:tmpl w:val="30160DDE"/>
    <w:lvl w:ilvl="0" w:tplc="1092ECA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EA43458"/>
    <w:multiLevelType w:val="hybridMultilevel"/>
    <w:tmpl w:val="7DDA7E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2"/>
  </w:num>
  <w:num w:numId="6">
    <w:abstractNumId w:val="3"/>
  </w:num>
  <w:num w:numId="7">
    <w:abstractNumId w:val="7"/>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236"/>
    <w:rsid w:val="00030FDA"/>
    <w:rsid w:val="000375CB"/>
    <w:rsid w:val="00040C60"/>
    <w:rsid w:val="0005403D"/>
    <w:rsid w:val="0007757A"/>
    <w:rsid w:val="000C77C5"/>
    <w:rsid w:val="000E1A0F"/>
    <w:rsid w:val="00157161"/>
    <w:rsid w:val="0016489D"/>
    <w:rsid w:val="001A5609"/>
    <w:rsid w:val="001C50AE"/>
    <w:rsid w:val="001F004E"/>
    <w:rsid w:val="002558A9"/>
    <w:rsid w:val="00262F84"/>
    <w:rsid w:val="00322D12"/>
    <w:rsid w:val="00341EE2"/>
    <w:rsid w:val="00365A25"/>
    <w:rsid w:val="00371D69"/>
    <w:rsid w:val="003737BF"/>
    <w:rsid w:val="003B563C"/>
    <w:rsid w:val="0045364B"/>
    <w:rsid w:val="00473C0B"/>
    <w:rsid w:val="00521CDB"/>
    <w:rsid w:val="00573400"/>
    <w:rsid w:val="005743BC"/>
    <w:rsid w:val="005B0CBD"/>
    <w:rsid w:val="005C0F0D"/>
    <w:rsid w:val="00613509"/>
    <w:rsid w:val="00682CA3"/>
    <w:rsid w:val="00685E44"/>
    <w:rsid w:val="006937E8"/>
    <w:rsid w:val="006E1CA3"/>
    <w:rsid w:val="007906BA"/>
    <w:rsid w:val="00812531"/>
    <w:rsid w:val="008460C3"/>
    <w:rsid w:val="0088293F"/>
    <w:rsid w:val="0096164B"/>
    <w:rsid w:val="0098574B"/>
    <w:rsid w:val="0099540C"/>
    <w:rsid w:val="009A2290"/>
    <w:rsid w:val="00A148C2"/>
    <w:rsid w:val="00A54C2E"/>
    <w:rsid w:val="00AC3014"/>
    <w:rsid w:val="00B56ADC"/>
    <w:rsid w:val="00BD6236"/>
    <w:rsid w:val="00BE0707"/>
    <w:rsid w:val="00BE7AD5"/>
    <w:rsid w:val="00C10B1D"/>
    <w:rsid w:val="00C80F9D"/>
    <w:rsid w:val="00CF5E40"/>
    <w:rsid w:val="00D5504B"/>
    <w:rsid w:val="00D73918"/>
    <w:rsid w:val="00DC3711"/>
    <w:rsid w:val="00DF51E3"/>
    <w:rsid w:val="00E35513"/>
    <w:rsid w:val="00E82A59"/>
    <w:rsid w:val="00EB63D4"/>
    <w:rsid w:val="00EC7E48"/>
    <w:rsid w:val="00F601EA"/>
    <w:rsid w:val="00FA1CE6"/>
    <w:rsid w:val="00FB19A4"/>
    <w:rsid w:val="00FC77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0E1A0F"/>
    <w:pPr>
      <w:widowControl w:val="0"/>
      <w:autoSpaceDE w:val="0"/>
      <w:autoSpaceDN w:val="0"/>
      <w:spacing w:after="0" w:line="240" w:lineRule="auto"/>
      <w:ind w:left="866" w:right="2729"/>
      <w:jc w:val="center"/>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07757A"/>
    <w:pPr>
      <w:ind w:left="720"/>
      <w:contextualSpacing/>
    </w:pPr>
  </w:style>
  <w:style w:type="paragraph" w:styleId="Textoindependiente">
    <w:name w:val="Body Text"/>
    <w:basedOn w:val="Normal"/>
    <w:link w:val="TextoindependienteCar"/>
    <w:uiPriority w:val="1"/>
    <w:qFormat/>
    <w:rsid w:val="0007757A"/>
    <w:pPr>
      <w:widowControl w:val="0"/>
      <w:autoSpaceDE w:val="0"/>
      <w:autoSpaceDN w:val="0"/>
      <w:spacing w:before="161" w:after="0" w:line="240" w:lineRule="auto"/>
      <w:ind w:left="112"/>
      <w:jc w:val="both"/>
    </w:pPr>
    <w:rPr>
      <w:rFonts w:ascii="Arial MT" w:eastAsia="Arial MT" w:hAnsi="Arial MT" w:cs="Arial MT"/>
      <w:sz w:val="24"/>
      <w:szCs w:val="24"/>
    </w:rPr>
  </w:style>
  <w:style w:type="character" w:customStyle="1" w:styleId="TextoindependienteCar">
    <w:name w:val="Texto independiente Car"/>
    <w:basedOn w:val="Fuentedeprrafopredeter"/>
    <w:link w:val="Textoindependiente"/>
    <w:uiPriority w:val="1"/>
    <w:rsid w:val="0007757A"/>
    <w:rPr>
      <w:rFonts w:ascii="Arial MT" w:eastAsia="Arial MT" w:hAnsi="Arial MT" w:cs="Arial MT"/>
      <w:sz w:val="24"/>
      <w:szCs w:val="24"/>
    </w:rPr>
  </w:style>
  <w:style w:type="paragraph" w:customStyle="1" w:styleId="Standard">
    <w:name w:val="Standard"/>
    <w:rsid w:val="0007757A"/>
    <w:pPr>
      <w:widowControl w:val="0"/>
      <w:suppressAutoHyphens/>
      <w:autoSpaceDN w:val="0"/>
      <w:spacing w:after="0" w:line="240" w:lineRule="auto"/>
      <w:textAlignment w:val="baseline"/>
    </w:pPr>
    <w:rPr>
      <w:rFonts w:ascii="Times New Roman" w:eastAsia="SimSun" w:hAnsi="Times New Roman" w:cs="Lucida Sans"/>
      <w:kern w:val="3"/>
      <w:sz w:val="24"/>
      <w:szCs w:val="24"/>
      <w:lang w:val="es-UY" w:eastAsia="zh-CN" w:bidi="hi-IN"/>
    </w:rPr>
  </w:style>
  <w:style w:type="paragraph" w:styleId="NormalWeb">
    <w:name w:val="Normal (Web)"/>
    <w:basedOn w:val="Normal"/>
    <w:uiPriority w:val="99"/>
    <w:semiHidden/>
    <w:unhideWhenUsed/>
    <w:rsid w:val="00040C6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040C60"/>
    <w:rPr>
      <w:i/>
      <w:iCs/>
    </w:rPr>
  </w:style>
  <w:style w:type="character" w:styleId="Hipervnculo">
    <w:name w:val="Hyperlink"/>
    <w:basedOn w:val="Fuentedeprrafopredeter"/>
    <w:uiPriority w:val="99"/>
    <w:unhideWhenUsed/>
    <w:rsid w:val="00040C60"/>
    <w:rPr>
      <w:color w:val="0000FF" w:themeColor="hyperlink"/>
      <w:u w:val="single"/>
    </w:rPr>
  </w:style>
  <w:style w:type="character" w:styleId="Refdecomentario">
    <w:name w:val="annotation reference"/>
    <w:basedOn w:val="Fuentedeprrafopredeter"/>
    <w:uiPriority w:val="99"/>
    <w:semiHidden/>
    <w:unhideWhenUsed/>
    <w:rsid w:val="00040C60"/>
    <w:rPr>
      <w:sz w:val="16"/>
      <w:szCs w:val="16"/>
    </w:rPr>
  </w:style>
  <w:style w:type="paragraph" w:styleId="Textocomentario">
    <w:name w:val="annotation text"/>
    <w:basedOn w:val="Normal"/>
    <w:link w:val="TextocomentarioCar"/>
    <w:uiPriority w:val="99"/>
    <w:semiHidden/>
    <w:unhideWhenUsed/>
    <w:rsid w:val="00040C6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0C60"/>
    <w:rPr>
      <w:sz w:val="20"/>
      <w:szCs w:val="20"/>
    </w:rPr>
  </w:style>
  <w:style w:type="paragraph" w:styleId="Textodeglobo">
    <w:name w:val="Balloon Text"/>
    <w:basedOn w:val="Normal"/>
    <w:link w:val="TextodegloboCar"/>
    <w:uiPriority w:val="99"/>
    <w:semiHidden/>
    <w:unhideWhenUsed/>
    <w:rsid w:val="00040C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C60"/>
    <w:rPr>
      <w:rFonts w:ascii="Tahoma" w:hAnsi="Tahoma" w:cs="Tahoma"/>
      <w:sz w:val="16"/>
      <w:szCs w:val="16"/>
    </w:rPr>
  </w:style>
  <w:style w:type="paragraph" w:styleId="Textonotapie">
    <w:name w:val="footnote text"/>
    <w:basedOn w:val="Normal"/>
    <w:link w:val="TextonotapieCar"/>
    <w:uiPriority w:val="99"/>
    <w:semiHidden/>
    <w:unhideWhenUsed/>
    <w:rsid w:val="00473C0B"/>
    <w:pPr>
      <w:spacing w:after="0" w:line="240" w:lineRule="auto"/>
    </w:pPr>
    <w:rPr>
      <w:sz w:val="20"/>
      <w:szCs w:val="20"/>
      <w:lang w:val="pt-BR"/>
    </w:rPr>
  </w:style>
  <w:style w:type="character" w:customStyle="1" w:styleId="TextonotapieCar">
    <w:name w:val="Texto nota pie Car"/>
    <w:basedOn w:val="Fuentedeprrafopredeter"/>
    <w:link w:val="Textonotapie"/>
    <w:uiPriority w:val="99"/>
    <w:semiHidden/>
    <w:rsid w:val="00473C0B"/>
    <w:rPr>
      <w:sz w:val="20"/>
      <w:szCs w:val="20"/>
      <w:lang w:val="pt-BR"/>
    </w:rPr>
  </w:style>
  <w:style w:type="character" w:styleId="Refdenotaalpie">
    <w:name w:val="footnote reference"/>
    <w:basedOn w:val="Fuentedeprrafopredeter"/>
    <w:uiPriority w:val="99"/>
    <w:semiHidden/>
    <w:unhideWhenUsed/>
    <w:rsid w:val="00473C0B"/>
    <w:rPr>
      <w:vertAlign w:val="superscript"/>
    </w:rPr>
  </w:style>
  <w:style w:type="paragraph" w:customStyle="1" w:styleId="Textbody">
    <w:name w:val="Text body"/>
    <w:basedOn w:val="Normal"/>
    <w:qFormat/>
    <w:rsid w:val="000E1A0F"/>
    <w:pPr>
      <w:suppressAutoHyphens/>
      <w:spacing w:after="140"/>
      <w:textAlignment w:val="baseline"/>
    </w:pPr>
    <w:rPr>
      <w:rFonts w:ascii="Liberation Serif" w:eastAsia="NSimSun" w:hAnsi="Liberation Serif" w:cs="Arial"/>
      <w:kern w:val="2"/>
      <w:sz w:val="24"/>
      <w:szCs w:val="24"/>
      <w:lang w:val="fr-CH" w:eastAsia="zh-CN" w:bidi="hi-IN"/>
    </w:rPr>
  </w:style>
  <w:style w:type="character" w:customStyle="1" w:styleId="Ttulo1Car">
    <w:name w:val="Título 1 Car"/>
    <w:basedOn w:val="Fuentedeprrafopredeter"/>
    <w:link w:val="Ttulo1"/>
    <w:uiPriority w:val="1"/>
    <w:rsid w:val="000E1A0F"/>
    <w:rPr>
      <w:rFonts w:ascii="Arial" w:eastAsia="Arial" w:hAnsi="Arial" w:cs="Arial"/>
      <w:b/>
      <w:bCs/>
      <w:sz w:val="24"/>
      <w:szCs w:val="24"/>
    </w:rPr>
  </w:style>
  <w:style w:type="character" w:customStyle="1" w:styleId="zmsearchresult">
    <w:name w:val="zmsearchresult"/>
    <w:basedOn w:val="Fuentedeprrafopredeter"/>
    <w:rsid w:val="008829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0E1A0F"/>
    <w:pPr>
      <w:widowControl w:val="0"/>
      <w:autoSpaceDE w:val="0"/>
      <w:autoSpaceDN w:val="0"/>
      <w:spacing w:after="0" w:line="240" w:lineRule="auto"/>
      <w:ind w:left="866" w:right="2729"/>
      <w:jc w:val="center"/>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07757A"/>
    <w:pPr>
      <w:ind w:left="720"/>
      <w:contextualSpacing/>
    </w:pPr>
  </w:style>
  <w:style w:type="paragraph" w:styleId="Textoindependiente">
    <w:name w:val="Body Text"/>
    <w:basedOn w:val="Normal"/>
    <w:link w:val="TextoindependienteCar"/>
    <w:uiPriority w:val="1"/>
    <w:qFormat/>
    <w:rsid w:val="0007757A"/>
    <w:pPr>
      <w:widowControl w:val="0"/>
      <w:autoSpaceDE w:val="0"/>
      <w:autoSpaceDN w:val="0"/>
      <w:spacing w:before="161" w:after="0" w:line="240" w:lineRule="auto"/>
      <w:ind w:left="112"/>
      <w:jc w:val="both"/>
    </w:pPr>
    <w:rPr>
      <w:rFonts w:ascii="Arial MT" w:eastAsia="Arial MT" w:hAnsi="Arial MT" w:cs="Arial MT"/>
      <w:sz w:val="24"/>
      <w:szCs w:val="24"/>
    </w:rPr>
  </w:style>
  <w:style w:type="character" w:customStyle="1" w:styleId="TextoindependienteCar">
    <w:name w:val="Texto independiente Car"/>
    <w:basedOn w:val="Fuentedeprrafopredeter"/>
    <w:link w:val="Textoindependiente"/>
    <w:uiPriority w:val="1"/>
    <w:rsid w:val="0007757A"/>
    <w:rPr>
      <w:rFonts w:ascii="Arial MT" w:eastAsia="Arial MT" w:hAnsi="Arial MT" w:cs="Arial MT"/>
      <w:sz w:val="24"/>
      <w:szCs w:val="24"/>
    </w:rPr>
  </w:style>
  <w:style w:type="paragraph" w:customStyle="1" w:styleId="Standard">
    <w:name w:val="Standard"/>
    <w:rsid w:val="0007757A"/>
    <w:pPr>
      <w:widowControl w:val="0"/>
      <w:suppressAutoHyphens/>
      <w:autoSpaceDN w:val="0"/>
      <w:spacing w:after="0" w:line="240" w:lineRule="auto"/>
      <w:textAlignment w:val="baseline"/>
    </w:pPr>
    <w:rPr>
      <w:rFonts w:ascii="Times New Roman" w:eastAsia="SimSun" w:hAnsi="Times New Roman" w:cs="Lucida Sans"/>
      <w:kern w:val="3"/>
      <w:sz w:val="24"/>
      <w:szCs w:val="24"/>
      <w:lang w:val="es-UY" w:eastAsia="zh-CN" w:bidi="hi-IN"/>
    </w:rPr>
  </w:style>
  <w:style w:type="paragraph" w:styleId="NormalWeb">
    <w:name w:val="Normal (Web)"/>
    <w:basedOn w:val="Normal"/>
    <w:uiPriority w:val="99"/>
    <w:semiHidden/>
    <w:unhideWhenUsed/>
    <w:rsid w:val="00040C6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040C60"/>
    <w:rPr>
      <w:i/>
      <w:iCs/>
    </w:rPr>
  </w:style>
  <w:style w:type="character" w:styleId="Hipervnculo">
    <w:name w:val="Hyperlink"/>
    <w:basedOn w:val="Fuentedeprrafopredeter"/>
    <w:uiPriority w:val="99"/>
    <w:unhideWhenUsed/>
    <w:rsid w:val="00040C60"/>
    <w:rPr>
      <w:color w:val="0000FF" w:themeColor="hyperlink"/>
      <w:u w:val="single"/>
    </w:rPr>
  </w:style>
  <w:style w:type="character" w:styleId="Refdecomentario">
    <w:name w:val="annotation reference"/>
    <w:basedOn w:val="Fuentedeprrafopredeter"/>
    <w:uiPriority w:val="99"/>
    <w:semiHidden/>
    <w:unhideWhenUsed/>
    <w:rsid w:val="00040C60"/>
    <w:rPr>
      <w:sz w:val="16"/>
      <w:szCs w:val="16"/>
    </w:rPr>
  </w:style>
  <w:style w:type="paragraph" w:styleId="Textocomentario">
    <w:name w:val="annotation text"/>
    <w:basedOn w:val="Normal"/>
    <w:link w:val="TextocomentarioCar"/>
    <w:uiPriority w:val="99"/>
    <w:semiHidden/>
    <w:unhideWhenUsed/>
    <w:rsid w:val="00040C6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0C60"/>
    <w:rPr>
      <w:sz w:val="20"/>
      <w:szCs w:val="20"/>
    </w:rPr>
  </w:style>
  <w:style w:type="paragraph" w:styleId="Textodeglobo">
    <w:name w:val="Balloon Text"/>
    <w:basedOn w:val="Normal"/>
    <w:link w:val="TextodegloboCar"/>
    <w:uiPriority w:val="99"/>
    <w:semiHidden/>
    <w:unhideWhenUsed/>
    <w:rsid w:val="00040C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C60"/>
    <w:rPr>
      <w:rFonts w:ascii="Tahoma" w:hAnsi="Tahoma" w:cs="Tahoma"/>
      <w:sz w:val="16"/>
      <w:szCs w:val="16"/>
    </w:rPr>
  </w:style>
  <w:style w:type="paragraph" w:styleId="Textonotapie">
    <w:name w:val="footnote text"/>
    <w:basedOn w:val="Normal"/>
    <w:link w:val="TextonotapieCar"/>
    <w:uiPriority w:val="99"/>
    <w:semiHidden/>
    <w:unhideWhenUsed/>
    <w:rsid w:val="00473C0B"/>
    <w:pPr>
      <w:spacing w:after="0" w:line="240" w:lineRule="auto"/>
    </w:pPr>
    <w:rPr>
      <w:sz w:val="20"/>
      <w:szCs w:val="20"/>
      <w:lang w:val="pt-BR"/>
    </w:rPr>
  </w:style>
  <w:style w:type="character" w:customStyle="1" w:styleId="TextonotapieCar">
    <w:name w:val="Texto nota pie Car"/>
    <w:basedOn w:val="Fuentedeprrafopredeter"/>
    <w:link w:val="Textonotapie"/>
    <w:uiPriority w:val="99"/>
    <w:semiHidden/>
    <w:rsid w:val="00473C0B"/>
    <w:rPr>
      <w:sz w:val="20"/>
      <w:szCs w:val="20"/>
      <w:lang w:val="pt-BR"/>
    </w:rPr>
  </w:style>
  <w:style w:type="character" w:styleId="Refdenotaalpie">
    <w:name w:val="footnote reference"/>
    <w:basedOn w:val="Fuentedeprrafopredeter"/>
    <w:uiPriority w:val="99"/>
    <w:semiHidden/>
    <w:unhideWhenUsed/>
    <w:rsid w:val="00473C0B"/>
    <w:rPr>
      <w:vertAlign w:val="superscript"/>
    </w:rPr>
  </w:style>
  <w:style w:type="paragraph" w:customStyle="1" w:styleId="Textbody">
    <w:name w:val="Text body"/>
    <w:basedOn w:val="Normal"/>
    <w:qFormat/>
    <w:rsid w:val="000E1A0F"/>
    <w:pPr>
      <w:suppressAutoHyphens/>
      <w:spacing w:after="140"/>
      <w:textAlignment w:val="baseline"/>
    </w:pPr>
    <w:rPr>
      <w:rFonts w:ascii="Liberation Serif" w:eastAsia="NSimSun" w:hAnsi="Liberation Serif" w:cs="Arial"/>
      <w:kern w:val="2"/>
      <w:sz w:val="24"/>
      <w:szCs w:val="24"/>
      <w:lang w:val="fr-CH" w:eastAsia="zh-CN" w:bidi="hi-IN"/>
    </w:rPr>
  </w:style>
  <w:style w:type="character" w:customStyle="1" w:styleId="Ttulo1Car">
    <w:name w:val="Título 1 Car"/>
    <w:basedOn w:val="Fuentedeprrafopredeter"/>
    <w:link w:val="Ttulo1"/>
    <w:uiPriority w:val="1"/>
    <w:rsid w:val="000E1A0F"/>
    <w:rPr>
      <w:rFonts w:ascii="Arial" w:eastAsia="Arial" w:hAnsi="Arial" w:cs="Arial"/>
      <w:b/>
      <w:bCs/>
      <w:sz w:val="24"/>
      <w:szCs w:val="24"/>
    </w:rPr>
  </w:style>
  <w:style w:type="character" w:customStyle="1" w:styleId="zmsearchresult">
    <w:name w:val="zmsearchresult"/>
    <w:basedOn w:val="Fuentedeprrafopredeter"/>
    <w:rsid w:val="00882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7923">
      <w:bodyDiv w:val="1"/>
      <w:marLeft w:val="0"/>
      <w:marRight w:val="0"/>
      <w:marTop w:val="0"/>
      <w:marBottom w:val="0"/>
      <w:divBdr>
        <w:top w:val="none" w:sz="0" w:space="0" w:color="auto"/>
        <w:left w:val="none" w:sz="0" w:space="0" w:color="auto"/>
        <w:bottom w:val="none" w:sz="0" w:space="0" w:color="auto"/>
        <w:right w:val="none" w:sz="0" w:space="0" w:color="auto"/>
      </w:divBdr>
      <w:divsChild>
        <w:div w:id="1575553220">
          <w:marLeft w:val="1166"/>
          <w:marRight w:val="0"/>
          <w:marTop w:val="0"/>
          <w:marBottom w:val="0"/>
          <w:divBdr>
            <w:top w:val="none" w:sz="0" w:space="0" w:color="auto"/>
            <w:left w:val="none" w:sz="0" w:space="0" w:color="auto"/>
            <w:bottom w:val="none" w:sz="0" w:space="0" w:color="auto"/>
            <w:right w:val="none" w:sz="0" w:space="0" w:color="auto"/>
          </w:divBdr>
        </w:div>
        <w:div w:id="1744717166">
          <w:marLeft w:val="1166"/>
          <w:marRight w:val="0"/>
          <w:marTop w:val="0"/>
          <w:marBottom w:val="0"/>
          <w:divBdr>
            <w:top w:val="none" w:sz="0" w:space="0" w:color="auto"/>
            <w:left w:val="none" w:sz="0" w:space="0" w:color="auto"/>
            <w:bottom w:val="none" w:sz="0" w:space="0" w:color="auto"/>
            <w:right w:val="none" w:sz="0" w:space="0" w:color="auto"/>
          </w:divBdr>
        </w:div>
        <w:div w:id="1104887289">
          <w:marLeft w:val="1166"/>
          <w:marRight w:val="0"/>
          <w:marTop w:val="0"/>
          <w:marBottom w:val="0"/>
          <w:divBdr>
            <w:top w:val="none" w:sz="0" w:space="0" w:color="auto"/>
            <w:left w:val="none" w:sz="0" w:space="0" w:color="auto"/>
            <w:bottom w:val="none" w:sz="0" w:space="0" w:color="auto"/>
            <w:right w:val="none" w:sz="0" w:space="0" w:color="auto"/>
          </w:divBdr>
        </w:div>
        <w:div w:id="1596356692">
          <w:marLeft w:val="1166"/>
          <w:marRight w:val="0"/>
          <w:marTop w:val="0"/>
          <w:marBottom w:val="0"/>
          <w:divBdr>
            <w:top w:val="none" w:sz="0" w:space="0" w:color="auto"/>
            <w:left w:val="none" w:sz="0" w:space="0" w:color="auto"/>
            <w:bottom w:val="none" w:sz="0" w:space="0" w:color="auto"/>
            <w:right w:val="none" w:sz="0" w:space="0" w:color="auto"/>
          </w:divBdr>
        </w:div>
        <w:div w:id="832987497">
          <w:marLeft w:val="1166"/>
          <w:marRight w:val="0"/>
          <w:marTop w:val="0"/>
          <w:marBottom w:val="0"/>
          <w:divBdr>
            <w:top w:val="none" w:sz="0" w:space="0" w:color="auto"/>
            <w:left w:val="none" w:sz="0" w:space="0" w:color="auto"/>
            <w:bottom w:val="none" w:sz="0" w:space="0" w:color="auto"/>
            <w:right w:val="none" w:sz="0" w:space="0" w:color="auto"/>
          </w:divBdr>
        </w:div>
        <w:div w:id="335378515">
          <w:marLeft w:val="1166"/>
          <w:marRight w:val="0"/>
          <w:marTop w:val="0"/>
          <w:marBottom w:val="0"/>
          <w:divBdr>
            <w:top w:val="none" w:sz="0" w:space="0" w:color="auto"/>
            <w:left w:val="none" w:sz="0" w:space="0" w:color="auto"/>
            <w:bottom w:val="none" w:sz="0" w:space="0" w:color="auto"/>
            <w:right w:val="none" w:sz="0" w:space="0" w:color="auto"/>
          </w:divBdr>
        </w:div>
        <w:div w:id="264921725">
          <w:marLeft w:val="1166"/>
          <w:marRight w:val="0"/>
          <w:marTop w:val="0"/>
          <w:marBottom w:val="0"/>
          <w:divBdr>
            <w:top w:val="none" w:sz="0" w:space="0" w:color="auto"/>
            <w:left w:val="none" w:sz="0" w:space="0" w:color="auto"/>
            <w:bottom w:val="none" w:sz="0" w:space="0" w:color="auto"/>
            <w:right w:val="none" w:sz="0" w:space="0" w:color="auto"/>
          </w:divBdr>
        </w:div>
        <w:div w:id="1882284513">
          <w:marLeft w:val="1166"/>
          <w:marRight w:val="0"/>
          <w:marTop w:val="0"/>
          <w:marBottom w:val="0"/>
          <w:divBdr>
            <w:top w:val="none" w:sz="0" w:space="0" w:color="auto"/>
            <w:left w:val="none" w:sz="0" w:space="0" w:color="auto"/>
            <w:bottom w:val="none" w:sz="0" w:space="0" w:color="auto"/>
            <w:right w:val="none" w:sz="0" w:space="0" w:color="auto"/>
          </w:divBdr>
        </w:div>
        <w:div w:id="216550305">
          <w:marLeft w:val="1166"/>
          <w:marRight w:val="0"/>
          <w:marTop w:val="0"/>
          <w:marBottom w:val="0"/>
          <w:divBdr>
            <w:top w:val="none" w:sz="0" w:space="0" w:color="auto"/>
            <w:left w:val="none" w:sz="0" w:space="0" w:color="auto"/>
            <w:bottom w:val="none" w:sz="0" w:space="0" w:color="auto"/>
            <w:right w:val="none" w:sz="0" w:space="0" w:color="auto"/>
          </w:divBdr>
        </w:div>
      </w:divsChild>
    </w:div>
    <w:div w:id="607277897">
      <w:bodyDiv w:val="1"/>
      <w:marLeft w:val="0"/>
      <w:marRight w:val="0"/>
      <w:marTop w:val="0"/>
      <w:marBottom w:val="0"/>
      <w:divBdr>
        <w:top w:val="none" w:sz="0" w:space="0" w:color="auto"/>
        <w:left w:val="none" w:sz="0" w:space="0" w:color="auto"/>
        <w:bottom w:val="none" w:sz="0" w:space="0" w:color="auto"/>
        <w:right w:val="none" w:sz="0" w:space="0" w:color="auto"/>
      </w:divBdr>
    </w:div>
    <w:div w:id="820002578">
      <w:bodyDiv w:val="1"/>
      <w:marLeft w:val="0"/>
      <w:marRight w:val="0"/>
      <w:marTop w:val="0"/>
      <w:marBottom w:val="0"/>
      <w:divBdr>
        <w:top w:val="none" w:sz="0" w:space="0" w:color="auto"/>
        <w:left w:val="none" w:sz="0" w:space="0" w:color="auto"/>
        <w:bottom w:val="none" w:sz="0" w:space="0" w:color="auto"/>
        <w:right w:val="none" w:sz="0" w:space="0" w:color="auto"/>
      </w:divBdr>
    </w:div>
    <w:div w:id="986668285">
      <w:bodyDiv w:val="1"/>
      <w:marLeft w:val="0"/>
      <w:marRight w:val="0"/>
      <w:marTop w:val="0"/>
      <w:marBottom w:val="0"/>
      <w:divBdr>
        <w:top w:val="none" w:sz="0" w:space="0" w:color="auto"/>
        <w:left w:val="none" w:sz="0" w:space="0" w:color="auto"/>
        <w:bottom w:val="none" w:sz="0" w:space="0" w:color="auto"/>
        <w:right w:val="none" w:sz="0" w:space="0" w:color="auto"/>
      </w:divBdr>
    </w:div>
    <w:div w:id="195162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igitallibrary.un.org/record/501576?ln=e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8186A-C46B-4936-AA06-2C28242DE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2716</Words>
  <Characters>14938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Castagnet</dc:creator>
  <cp:lastModifiedBy>Natalia Castagnet</cp:lastModifiedBy>
  <cp:revision>2</cp:revision>
  <dcterms:created xsi:type="dcterms:W3CDTF">2022-08-12T16:02:00Z</dcterms:created>
  <dcterms:modified xsi:type="dcterms:W3CDTF">2022-08-12T16:02:00Z</dcterms:modified>
</cp:coreProperties>
</file>