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8B6D57" w:rsidRDefault="00474271" w:rsidP="00302A98">
      <w:pPr>
        <w:spacing w:line="360" w:lineRule="auto"/>
        <w:jc w:val="both"/>
      </w:pPr>
      <w:r>
        <w:t xml:space="preserve">De acuerdo al monto de la inversión el proyecto se encuentra catalogado en la categoría de </w:t>
      </w:r>
      <w:r w:rsidR="00512DC4">
        <w:t xml:space="preserve">Grande </w:t>
      </w:r>
      <w:r w:rsidR="00967D44">
        <w:t>Tramo XX</w:t>
      </w:r>
      <w:r w:rsidR="008B6D57">
        <w:t>, eligiendo ser evaluado por la matriz correspondiente teniendo en cuenta a tales efectos los siguientes indicadores: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8B6D5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6D57" w:rsidRDefault="008B6D57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lastRenderedPageBreak/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2DC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56C4D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3A9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B6D5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76F87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4689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346C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84FA5-EBE6-4592-BBA1-B075F04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2021-01-29T14:39:00Z</dcterms:created>
  <dcterms:modified xsi:type="dcterms:W3CDTF">2021-01-29T14:39:00Z</dcterms:modified>
</cp:coreProperties>
</file>