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="360" w:lineRule="auto"/>
        <w:jc w:val="both"/>
        <w:rPr>
          <w:b w:val="1"/>
          <w:sz w:val="24"/>
          <w:szCs w:val="24"/>
        </w:rPr>
      </w:pPr>
      <w:bookmarkStart w:colFirst="0" w:colLast="0" w:name="_31od562bxpu4" w:id="0"/>
      <w:bookmarkEnd w:id="0"/>
      <w:r w:rsidDel="00000000" w:rsidR="00000000" w:rsidRPr="00000000">
        <w:rPr>
          <w:b w:val="1"/>
          <w:sz w:val="24"/>
          <w:szCs w:val="24"/>
          <w:rtl w:val="0"/>
        </w:rPr>
        <w:t xml:space="preserve">El Pericón como patrimonio Cultural Inmaterial del Uruguay</w:t>
      </w:r>
    </w:p>
    <w:p w:rsidR="00000000" w:rsidDel="00000000" w:rsidP="00000000" w:rsidRDefault="00000000" w:rsidRPr="00000000" w14:paraId="00000002">
      <w:pPr>
        <w:spacing w:after="240" w:before="240" w:line="360" w:lineRule="auto"/>
        <w:jc w:val="both"/>
        <w:rPr/>
      </w:pPr>
      <w:r w:rsidDel="00000000" w:rsidR="00000000" w:rsidRPr="00000000">
        <w:rPr>
          <w:rtl w:val="0"/>
        </w:rPr>
        <w:t xml:space="preserve">El pericón es una de las expresiones más antiguas y significativas del Uruguay. Nacido a fines del siglo XVIII a partir de las contradanzas europeas, se transformó en una danza colectiva que combina música, poesía y un fuerte sentido comunitario. Es la figura del bastonero, quien guía a los bailarines a través de coreografías que incluyen rondas, cadenas y la formación del pabellón nacional, símbolos que cargan de emoción e identidad compartida a esta danza.</w:t>
      </w:r>
    </w:p>
    <w:p w:rsidR="00000000" w:rsidDel="00000000" w:rsidP="00000000" w:rsidRDefault="00000000" w:rsidRPr="00000000" w14:paraId="00000003">
      <w:pPr>
        <w:spacing w:after="240" w:before="240" w:line="360" w:lineRule="auto"/>
        <w:jc w:val="both"/>
        <w:rPr/>
      </w:pPr>
      <w:r w:rsidDel="00000000" w:rsidR="00000000" w:rsidRPr="00000000">
        <w:rPr>
          <w:rtl w:val="0"/>
        </w:rPr>
        <w:t xml:space="preserve">A lo largo de más de dos siglos, el pericón ha habitado distintos escenarios: desde reuniones familiares y fiestas populares hasta escuelas, festivales y ámbitos artísticos. Esta trayectoria lo consolidó como una práctica cultural, que es recreada por docentes, bailarines y comunidades locales. Su transmisión, vinculada a la educación formal y a colectivos de danza popular, ha permitido que se mantenga vigente aunque enfrenta desafíos como la pérdida de espacios espontáneos de práctica y la precariedad laboral de sus portadores.</w:t>
      </w:r>
    </w:p>
    <w:p w:rsidR="00000000" w:rsidDel="00000000" w:rsidP="00000000" w:rsidRDefault="00000000" w:rsidRPr="00000000" w14:paraId="00000004">
      <w:pPr>
        <w:spacing w:after="240" w:before="240" w:line="360" w:lineRule="auto"/>
        <w:jc w:val="both"/>
        <w:rPr/>
      </w:pPr>
      <w:r w:rsidDel="00000000" w:rsidR="00000000" w:rsidRPr="00000000">
        <w:rPr>
          <w:rtl w:val="0"/>
        </w:rPr>
        <w:t xml:space="preserve">Hoy, el pericón no solo es un símbolo de la identidad nacional, sino también un espacio abierto a nuevas resignificaciones. Este dinamismo refleja que el patrimonio cultural inmaterial no es algo fijo, sino un proceso colectivo en constante diálogo con la sociedad.</w:t>
      </w:r>
    </w:p>
    <w:p w:rsidR="00000000" w:rsidDel="00000000" w:rsidP="00000000" w:rsidRDefault="00000000" w:rsidRPr="00000000" w14:paraId="00000005">
      <w:pPr>
        <w:spacing w:after="240" w:before="240" w:line="360" w:lineRule="auto"/>
        <w:jc w:val="both"/>
        <w:rPr/>
      </w:pPr>
      <w:r w:rsidDel="00000000" w:rsidR="00000000" w:rsidRPr="00000000">
        <w:rPr>
          <w:rtl w:val="0"/>
        </w:rPr>
        <w:t xml:space="preserve">Reconocer al pericón como patrimonio cultural inmaterial del Uruguay implica valorar su capacidad de integrar generaciones, territorios y sensibilidades, fortaleciendo los lazos comunitarios.</w:t>
      </w:r>
    </w:p>
    <w:p w:rsidR="00000000" w:rsidDel="00000000" w:rsidP="00000000" w:rsidRDefault="00000000" w:rsidRPr="00000000" w14:paraId="00000006">
      <w:pPr>
        <w:spacing w:after="240" w:before="240" w:line="36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before="240" w:line="360" w:lineRule="auto"/>
        <w:ind w:left="0" w:firstLine="0"/>
        <w:rPr/>
      </w:pPr>
      <w:r w:rsidDel="00000000" w:rsidR="00000000" w:rsidRPr="00000000">
        <w:rPr>
          <w:rtl w:val="0"/>
        </w:rPr>
        <w:t xml:space="preserve">Declaratoria: Resolución Ministerial Nº 0571/023</w:t>
      </w:r>
    </w:p>
    <w:p w:rsidR="00000000" w:rsidDel="00000000" w:rsidP="00000000" w:rsidRDefault="00000000" w:rsidRPr="00000000" w14:paraId="00000008">
      <w:pPr>
        <w:spacing w:after="240" w:before="240" w:line="360" w:lineRule="auto"/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1200" cy="4292600"/>
            <wp:effectExtent b="0" l="0" r="0" t="0"/>
            <wp:docPr id="1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065918" cy="5453063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65918" cy="54530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4292600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4292600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jpg"/><Relationship Id="rId5" Type="http://schemas.openxmlformats.org/officeDocument/2006/relationships/styles" Target="styles.xml"/><Relationship Id="rId6" Type="http://schemas.openxmlformats.org/officeDocument/2006/relationships/image" Target="media/image4.jpg"/><Relationship Id="rId7" Type="http://schemas.openxmlformats.org/officeDocument/2006/relationships/image" Target="media/image1.jp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