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AC" w:rsidRDefault="00546617" w:rsidP="00B33BAF">
      <w:pPr>
        <w:jc w:val="center"/>
        <w:rPr>
          <w:rFonts w:cs="Arial"/>
          <w:b/>
          <w:noProof/>
          <w:lang w:eastAsia="es-CL"/>
        </w:rPr>
      </w:pPr>
      <w:bookmarkStart w:id="0" w:name="_GoBack"/>
      <w:bookmarkEnd w:id="0"/>
      <w:r>
        <w:rPr>
          <w:rFonts w:cs="Arial"/>
          <w:b/>
          <w:noProof/>
          <w:lang w:val="es-UY" w:eastAsia="es-UY"/>
        </w:rPr>
        <w:drawing>
          <wp:inline distT="0" distB="0" distL="0" distR="0">
            <wp:extent cx="2152650" cy="1800225"/>
            <wp:effectExtent l="0" t="0" r="0" b="0"/>
            <wp:docPr id="1" name="Imagen 1" descr="JCPP2030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CPP2030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08B">
        <w:rPr>
          <w:rFonts w:cs="Arial"/>
          <w:b/>
          <w:noProof/>
          <w:lang w:eastAsia="es-CL"/>
        </w:rPr>
        <w:t xml:space="preserve"> </w:t>
      </w:r>
    </w:p>
    <w:p w:rsidR="003A308B" w:rsidRDefault="003A308B" w:rsidP="00B33BAF">
      <w:pPr>
        <w:jc w:val="center"/>
        <w:rPr>
          <w:rFonts w:cs="Arial"/>
          <w:b/>
          <w:noProof/>
          <w:lang w:eastAsia="es-CL"/>
        </w:rPr>
      </w:pPr>
    </w:p>
    <w:p w:rsidR="007A27AC" w:rsidRPr="0060463E" w:rsidRDefault="005E6134" w:rsidP="007A27AC">
      <w:pPr>
        <w:jc w:val="center"/>
        <w:rPr>
          <w:rFonts w:cs="Calibri"/>
          <w:b/>
          <w:sz w:val="32"/>
          <w:szCs w:val="32"/>
        </w:rPr>
      </w:pPr>
      <w:r w:rsidRPr="0060463E">
        <w:rPr>
          <w:rFonts w:cs="Calibri"/>
          <w:b/>
          <w:sz w:val="32"/>
          <w:szCs w:val="32"/>
        </w:rPr>
        <w:t>ANEXO V</w:t>
      </w:r>
    </w:p>
    <w:p w:rsidR="00AA3376" w:rsidRDefault="00AA3376" w:rsidP="00C1792C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PROGRAMA PRELIMINAR </w:t>
      </w:r>
    </w:p>
    <w:p w:rsidR="00C1792C" w:rsidRPr="00C1792C" w:rsidRDefault="0062331F" w:rsidP="00C1792C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I</w:t>
      </w:r>
      <w:r w:rsidR="00695DE5">
        <w:rPr>
          <w:rFonts w:cs="Calibri"/>
          <w:b/>
          <w:sz w:val="32"/>
          <w:szCs w:val="32"/>
        </w:rPr>
        <w:t>I</w:t>
      </w:r>
      <w:r w:rsidR="00C1792C" w:rsidRPr="00C1792C">
        <w:rPr>
          <w:rFonts w:cs="Calibri"/>
          <w:b/>
          <w:sz w:val="32"/>
          <w:szCs w:val="32"/>
        </w:rPr>
        <w:t xml:space="preserve"> CURSO INTERNACIONAL</w:t>
      </w:r>
    </w:p>
    <w:p w:rsidR="00C1792C" w:rsidRPr="00C1792C" w:rsidRDefault="00646138" w:rsidP="00C1792C">
      <w:pPr>
        <w:jc w:val="center"/>
        <w:rPr>
          <w:rFonts w:cs="Calibri"/>
          <w:b/>
          <w:sz w:val="32"/>
          <w:szCs w:val="32"/>
        </w:rPr>
      </w:pPr>
      <w:r w:rsidRPr="00646138">
        <w:rPr>
          <w:rFonts w:cs="Calibri"/>
          <w:b/>
          <w:sz w:val="32"/>
          <w:szCs w:val="32"/>
        </w:rPr>
        <w:t>“Programa de Acreditación Nacional para grupos USAR bajo los estándares de INSARAG”</w:t>
      </w:r>
    </w:p>
    <w:p w:rsidR="007A27AC" w:rsidRPr="009C04EE" w:rsidRDefault="00C1792C" w:rsidP="00C1792C">
      <w:pPr>
        <w:jc w:val="center"/>
        <w:rPr>
          <w:rFonts w:cs="Calibri"/>
          <w:sz w:val="14"/>
        </w:rPr>
      </w:pPr>
      <w:r w:rsidRPr="00C1792C">
        <w:rPr>
          <w:rFonts w:cs="Calibri"/>
          <w:b/>
          <w:sz w:val="32"/>
          <w:szCs w:val="32"/>
        </w:rPr>
        <w:t xml:space="preserve">Santiago de Chile, </w:t>
      </w:r>
      <w:r w:rsidR="00646138">
        <w:rPr>
          <w:rFonts w:cs="Calibri"/>
          <w:b/>
          <w:sz w:val="32"/>
          <w:szCs w:val="32"/>
        </w:rPr>
        <w:t>0</w:t>
      </w:r>
      <w:r w:rsidR="00695DE5">
        <w:rPr>
          <w:rFonts w:cs="Calibri"/>
          <w:b/>
          <w:sz w:val="32"/>
          <w:szCs w:val="32"/>
        </w:rPr>
        <w:t>2</w:t>
      </w:r>
      <w:r w:rsidR="00646138">
        <w:rPr>
          <w:rFonts w:cs="Calibri"/>
          <w:b/>
          <w:sz w:val="32"/>
          <w:szCs w:val="32"/>
        </w:rPr>
        <w:t xml:space="preserve"> al 2</w:t>
      </w:r>
      <w:r w:rsidR="00695DE5">
        <w:rPr>
          <w:rFonts w:cs="Calibri"/>
          <w:b/>
          <w:sz w:val="32"/>
          <w:szCs w:val="32"/>
        </w:rPr>
        <w:t>7</w:t>
      </w:r>
      <w:r w:rsidR="00646138">
        <w:rPr>
          <w:rFonts w:cs="Calibri"/>
          <w:b/>
          <w:sz w:val="32"/>
          <w:szCs w:val="32"/>
        </w:rPr>
        <w:t xml:space="preserve"> de </w:t>
      </w:r>
      <w:r w:rsidR="00695DE5">
        <w:rPr>
          <w:rFonts w:cs="Calibri"/>
          <w:b/>
          <w:sz w:val="32"/>
          <w:szCs w:val="32"/>
        </w:rPr>
        <w:t>octubre</w:t>
      </w:r>
      <w:r w:rsidR="0062331F">
        <w:rPr>
          <w:rFonts w:cs="Calibri"/>
          <w:b/>
          <w:sz w:val="32"/>
          <w:szCs w:val="32"/>
        </w:rPr>
        <w:t xml:space="preserve"> </w:t>
      </w:r>
      <w:r w:rsidR="00C025D4">
        <w:rPr>
          <w:rFonts w:cs="Calibri"/>
          <w:b/>
          <w:sz w:val="32"/>
          <w:szCs w:val="32"/>
        </w:rPr>
        <w:t xml:space="preserve">de </w:t>
      </w:r>
      <w:r w:rsidR="0062331F">
        <w:rPr>
          <w:rFonts w:cs="Calibri"/>
          <w:b/>
          <w:sz w:val="32"/>
          <w:szCs w:val="32"/>
        </w:rPr>
        <w:t>202</w:t>
      </w:r>
      <w:r w:rsidR="00695DE5">
        <w:rPr>
          <w:rFonts w:cs="Calibri"/>
          <w:b/>
          <w:sz w:val="32"/>
          <w:szCs w:val="32"/>
        </w:rPr>
        <w:t>3</w:t>
      </w:r>
    </w:p>
    <w:tbl>
      <w:tblPr>
        <w:tblpPr w:leftFromText="141" w:rightFromText="141" w:vertAnchor="text" w:horzAnchor="margin" w:tblpY="2264"/>
        <w:tblW w:w="0" w:type="auto"/>
        <w:tblLook w:val="04A0" w:firstRow="1" w:lastRow="0" w:firstColumn="1" w:lastColumn="0" w:noHBand="0" w:noVBand="1"/>
      </w:tblPr>
      <w:tblGrid>
        <w:gridCol w:w="2946"/>
        <w:gridCol w:w="2946"/>
        <w:gridCol w:w="2946"/>
      </w:tblGrid>
      <w:tr w:rsidR="00D86556" w:rsidTr="00D86556">
        <w:tc>
          <w:tcPr>
            <w:tcW w:w="2992" w:type="dxa"/>
            <w:shd w:val="clear" w:color="auto" w:fill="auto"/>
            <w:vAlign w:val="center"/>
          </w:tcPr>
          <w:p w:rsidR="00D86556" w:rsidRDefault="00D86556" w:rsidP="00D86556">
            <w:pPr>
              <w:pStyle w:val="Piedepgina"/>
              <w:jc w:val="center"/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D86556" w:rsidRDefault="00D86556" w:rsidP="00D86556">
            <w:pPr>
              <w:pStyle w:val="Piedepgina"/>
              <w:jc w:val="center"/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D86556" w:rsidRDefault="00D86556" w:rsidP="00D86556">
            <w:pPr>
              <w:pStyle w:val="Piedepgina"/>
              <w:jc w:val="center"/>
            </w:pPr>
          </w:p>
        </w:tc>
      </w:tr>
    </w:tbl>
    <w:p w:rsidR="006B0D74" w:rsidRPr="006B0D74" w:rsidRDefault="006B0D74" w:rsidP="006B0D74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030"/>
        <w:tblW w:w="10881" w:type="dxa"/>
        <w:tblLook w:val="04A0" w:firstRow="1" w:lastRow="0" w:firstColumn="1" w:lastColumn="0" w:noHBand="0" w:noVBand="1"/>
      </w:tblPr>
      <w:tblGrid>
        <w:gridCol w:w="2992"/>
        <w:gridCol w:w="2993"/>
        <w:gridCol w:w="4896"/>
      </w:tblGrid>
      <w:tr w:rsidR="001E3CC9" w:rsidTr="006B0D74">
        <w:tc>
          <w:tcPr>
            <w:tcW w:w="2992" w:type="dxa"/>
            <w:shd w:val="clear" w:color="auto" w:fill="auto"/>
            <w:vAlign w:val="center"/>
          </w:tcPr>
          <w:p w:rsidR="001E3CC9" w:rsidRDefault="00546617" w:rsidP="006B0D74">
            <w:pPr>
              <w:pStyle w:val="Piedepgina"/>
              <w:jc w:val="center"/>
            </w:pPr>
            <w:r w:rsidRPr="00416D86">
              <w:rPr>
                <w:rFonts w:ascii="Constantia" w:eastAsia="Times New Roman" w:hAnsi="Constantia" w:cs="Tahoma"/>
                <w:noProof/>
                <w:szCs w:val="24"/>
                <w:lang w:val="es-UY" w:eastAsia="es-UY"/>
              </w:rPr>
              <w:drawing>
                <wp:inline distT="0" distB="0" distL="0" distR="0">
                  <wp:extent cx="914400" cy="1304925"/>
                  <wp:effectExtent l="0" t="0" r="0" b="0"/>
                  <wp:docPr id="2" name="Imagen 3" descr="C:\Users\alonso.segeur\Desktop\ 30años_anb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:\Users\alonso.segeur\Desktop\ 30años_anb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E3CC9" w:rsidRDefault="001E3CC9" w:rsidP="006B0D74">
            <w:pPr>
              <w:pStyle w:val="Piedepgina"/>
              <w:jc w:val="center"/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1E3CC9" w:rsidRDefault="00546617" w:rsidP="006B0D74">
            <w:pPr>
              <w:pStyle w:val="Piedepgina"/>
              <w:jc w:val="center"/>
            </w:pPr>
            <w:r w:rsidRPr="003467EC">
              <w:rPr>
                <w:noProof/>
                <w:lang w:val="es-UY" w:eastAsia="es-UY"/>
              </w:rPr>
              <w:drawing>
                <wp:inline distT="0" distB="0" distL="0" distR="0">
                  <wp:extent cx="1085850" cy="819150"/>
                  <wp:effectExtent l="0" t="0" r="0" b="0"/>
                  <wp:docPr id="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CC9" w:rsidRDefault="001E3CC9" w:rsidP="00B33BAF"/>
    <w:p w:rsidR="001E3CC9" w:rsidRDefault="001E3CC9" w:rsidP="00B33BAF"/>
    <w:p w:rsidR="00FC25FB" w:rsidRPr="00FC25FB" w:rsidRDefault="00546617" w:rsidP="00FC25FB">
      <w:pPr>
        <w:pStyle w:val="Ttulo2"/>
        <w:jc w:val="both"/>
        <w:rPr>
          <w:b w:val="0"/>
          <w:bCs/>
          <w:color w:val="4472C4"/>
          <w:sz w:val="28"/>
          <w:szCs w:val="28"/>
        </w:rPr>
      </w:pPr>
      <w:bookmarkStart w:id="1" w:name="_Toc103615825"/>
      <w:r>
        <w:rPr>
          <w:noProof/>
          <w:lang w:val="es-UY" w:eastAsia="es-UY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969645</wp:posOffset>
            </wp:positionV>
            <wp:extent cx="1950720" cy="1196975"/>
            <wp:effectExtent l="0" t="0" r="0" b="0"/>
            <wp:wrapNone/>
            <wp:docPr id="4" name="Imagen 6" descr="C:\Users\mtroncoso\Desktop\Logos Nuevos AGCID\LOGO AGCID SET\AGCID ALTA (sinfondo)_Mesa de trabaj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mtroncoso\Desktop\Logos Nuevos AGCID\LOGO AGCID SET\AGCID ALTA (sinfondo)_Mesa de trabajo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CC9">
        <w:br w:type="page"/>
      </w:r>
      <w:r w:rsidR="00FC25FB" w:rsidRPr="00FC25FB">
        <w:rPr>
          <w:b w:val="0"/>
          <w:bCs/>
          <w:color w:val="4472C4"/>
          <w:sz w:val="28"/>
          <w:szCs w:val="28"/>
        </w:rPr>
        <w:lastRenderedPageBreak/>
        <w:t>Índice</w:t>
      </w:r>
      <w:bookmarkEnd w:id="1"/>
    </w:p>
    <w:p w:rsidR="00FC25FB" w:rsidRPr="00FC25FB" w:rsidRDefault="00FC25FB" w:rsidP="00FC25FB">
      <w:pPr>
        <w:jc w:val="both"/>
        <w:rPr>
          <w:b/>
          <w:bCs/>
          <w:color w:val="4472C4"/>
          <w:sz w:val="24"/>
          <w:szCs w:val="24"/>
        </w:rPr>
      </w:pPr>
      <w:r w:rsidRPr="00FC25FB">
        <w:rPr>
          <w:b/>
          <w:bCs/>
          <w:color w:val="4472C4"/>
          <w:sz w:val="32"/>
          <w:szCs w:val="32"/>
        </w:rPr>
        <w:t>______________________________________________________</w:t>
      </w:r>
    </w:p>
    <w:p w:rsidR="00FC25FB" w:rsidRPr="00FC25FB" w:rsidRDefault="00FC25FB" w:rsidP="00FC25FB">
      <w:pPr>
        <w:pStyle w:val="TtuloTDC"/>
        <w:jc w:val="both"/>
        <w:rPr>
          <w:rFonts w:ascii="Calibri" w:hAnsi="Calibri"/>
        </w:rPr>
      </w:pPr>
      <w:r w:rsidRPr="00FC25FB">
        <w:rPr>
          <w:rFonts w:ascii="Calibri" w:hAnsi="Calibri"/>
          <w:lang w:val="es-ES"/>
        </w:rPr>
        <w:t xml:space="preserve"> </w:t>
      </w:r>
    </w:p>
    <w:p w:rsidR="008B4B1E" w:rsidRPr="00C00D40" w:rsidRDefault="00FC25FB">
      <w:pPr>
        <w:pStyle w:val="TDC2"/>
        <w:tabs>
          <w:tab w:val="right" w:leader="underscore" w:pos="8828"/>
        </w:tabs>
        <w:rPr>
          <w:rFonts w:eastAsia="Times New Roman"/>
          <w:b w:val="0"/>
          <w:bCs w:val="0"/>
          <w:noProof/>
          <w:lang w:eastAsia="es-CL"/>
        </w:rPr>
      </w:pPr>
      <w:r w:rsidRPr="00EC1648">
        <w:fldChar w:fldCharType="begin"/>
      </w:r>
      <w:r w:rsidRPr="00EC1648">
        <w:instrText xml:space="preserve"> TOC \o "1-3" \h \z \u </w:instrText>
      </w:r>
      <w:r w:rsidRPr="00EC1648">
        <w:fldChar w:fldCharType="separate"/>
      </w:r>
      <w:hyperlink w:anchor="_Toc103615825" w:history="1">
        <w:r w:rsidR="008B4B1E" w:rsidRPr="00EE69C1">
          <w:rPr>
            <w:rStyle w:val="Hipervnculo"/>
            <w:noProof/>
          </w:rPr>
          <w:t>Índice</w:t>
        </w:r>
        <w:r w:rsidR="008B4B1E">
          <w:rPr>
            <w:noProof/>
            <w:webHidden/>
          </w:rPr>
          <w:tab/>
        </w:r>
        <w:r w:rsidR="008B4B1E">
          <w:rPr>
            <w:noProof/>
            <w:webHidden/>
          </w:rPr>
          <w:fldChar w:fldCharType="begin"/>
        </w:r>
        <w:r w:rsidR="008B4B1E">
          <w:rPr>
            <w:noProof/>
            <w:webHidden/>
          </w:rPr>
          <w:instrText xml:space="preserve"> PAGEREF _Toc103615825 \h </w:instrText>
        </w:r>
        <w:r w:rsidR="008B4B1E">
          <w:rPr>
            <w:noProof/>
            <w:webHidden/>
          </w:rPr>
        </w:r>
        <w:r w:rsidR="008B4B1E">
          <w:rPr>
            <w:noProof/>
            <w:webHidden/>
          </w:rPr>
          <w:fldChar w:fldCharType="separate"/>
        </w:r>
        <w:r w:rsidR="008B4B1E">
          <w:rPr>
            <w:noProof/>
            <w:webHidden/>
          </w:rPr>
          <w:t>1</w:t>
        </w:r>
        <w:r w:rsidR="008B4B1E">
          <w:rPr>
            <w:noProof/>
            <w:webHidden/>
          </w:rPr>
          <w:fldChar w:fldCharType="end"/>
        </w:r>
      </w:hyperlink>
    </w:p>
    <w:p w:rsidR="008B4B1E" w:rsidRPr="00C00D40" w:rsidRDefault="008B4B1E">
      <w:pPr>
        <w:pStyle w:val="TDC2"/>
        <w:tabs>
          <w:tab w:val="right" w:leader="underscore" w:pos="8828"/>
        </w:tabs>
        <w:rPr>
          <w:rFonts w:eastAsia="Times New Roman"/>
          <w:b w:val="0"/>
          <w:bCs w:val="0"/>
          <w:noProof/>
          <w:lang w:eastAsia="es-CL"/>
        </w:rPr>
      </w:pPr>
      <w:hyperlink w:anchor="_Toc103615826" w:history="1">
        <w:r w:rsidRPr="00EE69C1">
          <w:rPr>
            <w:rStyle w:val="Hipervnculo"/>
            <w:noProof/>
          </w:rPr>
          <w:t>Descripción del curso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_Toc103615826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B4B1E" w:rsidRPr="00C00D40" w:rsidRDefault="008B4B1E">
      <w:pPr>
        <w:pStyle w:val="TDC2"/>
        <w:tabs>
          <w:tab w:val="right" w:leader="underscore" w:pos="8828"/>
        </w:tabs>
        <w:rPr>
          <w:rFonts w:eastAsia="Times New Roman"/>
          <w:b w:val="0"/>
          <w:bCs w:val="0"/>
          <w:noProof/>
          <w:lang w:eastAsia="es-CL"/>
        </w:rPr>
      </w:pPr>
      <w:hyperlink w:anchor="_Toc103615827" w:history="1">
        <w:r w:rsidRPr="00EE69C1">
          <w:rPr>
            <w:rStyle w:val="Hipervnculo"/>
            <w:noProof/>
          </w:rPr>
          <w:t>Objetivo general del curso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_Toc103615827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B4B1E" w:rsidRPr="00C00D40" w:rsidRDefault="008B4B1E">
      <w:pPr>
        <w:pStyle w:val="TDC2"/>
        <w:tabs>
          <w:tab w:val="right" w:leader="underscore" w:pos="8828"/>
        </w:tabs>
        <w:rPr>
          <w:rFonts w:eastAsia="Times New Roman"/>
          <w:b w:val="0"/>
          <w:bCs w:val="0"/>
          <w:noProof/>
          <w:lang w:eastAsia="es-CL"/>
        </w:rPr>
      </w:pPr>
      <w:hyperlink w:anchor="_Toc103615828" w:history="1">
        <w:r w:rsidRPr="00EE69C1">
          <w:rPr>
            <w:rStyle w:val="Hipervnculo"/>
            <w:noProof/>
          </w:rPr>
          <w:t>Lecciones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_Toc103615828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B4B1E" w:rsidRPr="00C00D40" w:rsidRDefault="008B4B1E">
      <w:pPr>
        <w:pStyle w:val="TDC2"/>
        <w:tabs>
          <w:tab w:val="right" w:leader="underscore" w:pos="8828"/>
        </w:tabs>
        <w:rPr>
          <w:rFonts w:eastAsia="Times New Roman"/>
          <w:b w:val="0"/>
          <w:bCs w:val="0"/>
          <w:noProof/>
          <w:lang w:eastAsia="es-CL"/>
        </w:rPr>
      </w:pPr>
      <w:hyperlink w:anchor="_Toc103615829" w:history="1">
        <w:r w:rsidRPr="00EE69C1">
          <w:rPr>
            <w:rStyle w:val="Hipervnculo"/>
            <w:noProof/>
          </w:rPr>
          <w:t>Contenidos e indicadores de logro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_Toc103615829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C25FB" w:rsidRPr="00EC1648" w:rsidRDefault="00FC25FB" w:rsidP="00FC25FB">
      <w:pPr>
        <w:jc w:val="both"/>
      </w:pPr>
      <w:r w:rsidRPr="00EC1648">
        <w:rPr>
          <w:b/>
          <w:bCs/>
          <w:lang w:val="es-ES"/>
        </w:rPr>
        <w:fldChar w:fldCharType="end"/>
      </w:r>
    </w:p>
    <w:p w:rsidR="00FC25FB" w:rsidRPr="00EC1648" w:rsidRDefault="00FC25FB" w:rsidP="00FC25FB">
      <w:pPr>
        <w:jc w:val="both"/>
        <w:rPr>
          <w:sz w:val="24"/>
          <w:szCs w:val="24"/>
        </w:rPr>
      </w:pPr>
    </w:p>
    <w:p w:rsidR="00FC25FB" w:rsidRPr="00EC1648" w:rsidRDefault="00FC25FB" w:rsidP="00FC25FB">
      <w:pPr>
        <w:jc w:val="both"/>
        <w:rPr>
          <w:sz w:val="24"/>
          <w:szCs w:val="24"/>
        </w:rPr>
      </w:pPr>
      <w:r w:rsidRPr="00EC1648">
        <w:rPr>
          <w:sz w:val="24"/>
          <w:szCs w:val="24"/>
        </w:rPr>
        <w:br w:type="page"/>
      </w:r>
    </w:p>
    <w:p w:rsidR="00FC25FB" w:rsidRPr="00FC25FB" w:rsidRDefault="00FC25FB" w:rsidP="00FC25FB">
      <w:pPr>
        <w:pStyle w:val="Ttulo2"/>
        <w:jc w:val="both"/>
        <w:rPr>
          <w:b w:val="0"/>
          <w:bCs/>
          <w:color w:val="4472C4"/>
          <w:sz w:val="28"/>
          <w:szCs w:val="28"/>
        </w:rPr>
      </w:pPr>
      <w:bookmarkStart w:id="2" w:name="_Toc103615826"/>
      <w:r w:rsidRPr="00FC25FB">
        <w:rPr>
          <w:b w:val="0"/>
          <w:bCs/>
          <w:color w:val="4472C4"/>
          <w:sz w:val="28"/>
          <w:szCs w:val="28"/>
        </w:rPr>
        <w:t>Descripción del curso</w:t>
      </w:r>
      <w:bookmarkEnd w:id="2"/>
      <w:r w:rsidRPr="00FC25FB">
        <w:rPr>
          <w:b w:val="0"/>
          <w:bCs/>
          <w:color w:val="4472C4"/>
          <w:sz w:val="28"/>
          <w:szCs w:val="28"/>
        </w:rPr>
        <w:t xml:space="preserve">  </w:t>
      </w:r>
    </w:p>
    <w:p w:rsidR="00FC25FB" w:rsidRPr="00FC25FB" w:rsidRDefault="00FC25FB" w:rsidP="00FC25FB">
      <w:pPr>
        <w:jc w:val="both"/>
        <w:rPr>
          <w:b/>
          <w:bCs/>
          <w:color w:val="4472C4"/>
          <w:sz w:val="24"/>
          <w:szCs w:val="24"/>
        </w:rPr>
      </w:pPr>
      <w:r w:rsidRPr="00FC25FB">
        <w:rPr>
          <w:b/>
          <w:bCs/>
          <w:color w:val="4472C4"/>
          <w:sz w:val="32"/>
          <w:szCs w:val="32"/>
        </w:rPr>
        <w:t>______________________________________________________</w:t>
      </w:r>
    </w:p>
    <w:p w:rsidR="00FC25FB" w:rsidRPr="00FC25FB" w:rsidRDefault="00FC25FB" w:rsidP="00FC25FB">
      <w:pPr>
        <w:jc w:val="both"/>
        <w:rPr>
          <w:b/>
          <w:bCs/>
          <w:color w:val="4472C4"/>
          <w:sz w:val="28"/>
          <w:szCs w:val="28"/>
        </w:rPr>
      </w:pPr>
    </w:p>
    <w:p w:rsidR="00FC25FB" w:rsidRPr="00EC1648" w:rsidRDefault="00FC25FB" w:rsidP="00FC25FB">
      <w:pPr>
        <w:jc w:val="both"/>
        <w:rPr>
          <w:sz w:val="24"/>
          <w:szCs w:val="24"/>
        </w:rPr>
      </w:pPr>
      <w:r w:rsidRPr="00EC1648">
        <w:rPr>
          <w:sz w:val="24"/>
          <w:szCs w:val="24"/>
        </w:rPr>
        <w:t xml:space="preserve">El curso tiene como objetivo </w:t>
      </w:r>
      <w:r>
        <w:rPr>
          <w:sz w:val="24"/>
          <w:szCs w:val="24"/>
        </w:rPr>
        <w:t>superior fortalecer y estandarizar l</w:t>
      </w:r>
      <w:r w:rsidRPr="00AF5151">
        <w:rPr>
          <w:sz w:val="24"/>
          <w:szCs w:val="24"/>
        </w:rPr>
        <w:t>a gestión y respuesta a desastres en Latinoamérica y el Caribe</w:t>
      </w:r>
      <w:r>
        <w:rPr>
          <w:sz w:val="24"/>
          <w:szCs w:val="24"/>
        </w:rPr>
        <w:t xml:space="preserve">, utilizando para esto estándares internacionales reconocidos y compartiendo la experiencia de Chile. </w:t>
      </w:r>
    </w:p>
    <w:p w:rsidR="00FC25FB" w:rsidRPr="00EC1648" w:rsidRDefault="00FC25FB" w:rsidP="00FC25FB">
      <w:pPr>
        <w:jc w:val="both"/>
        <w:rPr>
          <w:sz w:val="24"/>
          <w:szCs w:val="24"/>
        </w:rPr>
      </w:pPr>
    </w:p>
    <w:p w:rsidR="00FC25FB" w:rsidRPr="00FC25FB" w:rsidRDefault="00FC25FB" w:rsidP="00FC25FB">
      <w:pPr>
        <w:pStyle w:val="Ttulo2"/>
        <w:jc w:val="both"/>
        <w:rPr>
          <w:sz w:val="24"/>
          <w:szCs w:val="24"/>
        </w:rPr>
      </w:pPr>
      <w:bookmarkStart w:id="3" w:name="_Toc103615827"/>
      <w:r w:rsidRPr="00FC25FB">
        <w:rPr>
          <w:b w:val="0"/>
          <w:bCs/>
          <w:color w:val="4472C4"/>
          <w:sz w:val="28"/>
          <w:szCs w:val="28"/>
        </w:rPr>
        <w:t>Objetivo general del curso</w:t>
      </w:r>
      <w:bookmarkEnd w:id="3"/>
    </w:p>
    <w:p w:rsidR="00FC25FB" w:rsidRPr="00FC25FB" w:rsidRDefault="00FC25FB" w:rsidP="00FC25FB">
      <w:pPr>
        <w:jc w:val="both"/>
        <w:rPr>
          <w:b/>
          <w:bCs/>
          <w:color w:val="4472C4"/>
          <w:sz w:val="24"/>
          <w:szCs w:val="24"/>
        </w:rPr>
      </w:pPr>
      <w:r w:rsidRPr="00FC25FB">
        <w:rPr>
          <w:b/>
          <w:bCs/>
          <w:color w:val="4472C4"/>
          <w:sz w:val="32"/>
          <w:szCs w:val="32"/>
        </w:rPr>
        <w:t>______________________________________________________</w:t>
      </w:r>
    </w:p>
    <w:p w:rsidR="00FC25FB" w:rsidRPr="00EC1648" w:rsidRDefault="00FC25FB" w:rsidP="00FC25FB">
      <w:pPr>
        <w:jc w:val="both"/>
        <w:rPr>
          <w:sz w:val="24"/>
          <w:szCs w:val="24"/>
        </w:rPr>
      </w:pPr>
    </w:p>
    <w:p w:rsidR="00FC25FB" w:rsidRDefault="00FC25FB" w:rsidP="00FC25FB">
      <w:pPr>
        <w:jc w:val="both"/>
        <w:rPr>
          <w:sz w:val="24"/>
          <w:szCs w:val="24"/>
        </w:rPr>
      </w:pPr>
      <w:r w:rsidRPr="008E69FC">
        <w:rPr>
          <w:sz w:val="24"/>
          <w:szCs w:val="24"/>
        </w:rPr>
        <w:t xml:space="preserve">Los profesionales y/o representantes de las instituciones de RRD de Latinoamérica y el Caribe, mejoran sus conocimientos para la estandarización de la gestión y respuesta a desastres naturales, bajo los estándares de INSARAG. </w:t>
      </w:r>
    </w:p>
    <w:p w:rsidR="00FC25FB" w:rsidRPr="00EC1648" w:rsidRDefault="00FC25FB" w:rsidP="00FC25FB">
      <w:pPr>
        <w:jc w:val="both"/>
        <w:rPr>
          <w:sz w:val="24"/>
          <w:szCs w:val="24"/>
        </w:rPr>
      </w:pPr>
      <w:r w:rsidRPr="00EC1648">
        <w:rPr>
          <w:sz w:val="24"/>
          <w:szCs w:val="24"/>
        </w:rPr>
        <w:br w:type="page"/>
      </w:r>
    </w:p>
    <w:p w:rsidR="00FC25FB" w:rsidRPr="00FC25FB" w:rsidRDefault="00FC25FB" w:rsidP="00FC25FB">
      <w:pPr>
        <w:pStyle w:val="Ttulo2"/>
        <w:jc w:val="both"/>
        <w:rPr>
          <w:b w:val="0"/>
          <w:bCs/>
          <w:color w:val="4472C4"/>
          <w:sz w:val="28"/>
          <w:szCs w:val="28"/>
        </w:rPr>
      </w:pPr>
      <w:r w:rsidRPr="00FC25FB">
        <w:rPr>
          <w:b w:val="0"/>
          <w:bCs/>
          <w:color w:val="4472C4"/>
          <w:sz w:val="28"/>
          <w:szCs w:val="28"/>
        </w:rPr>
        <w:tab/>
      </w:r>
      <w:bookmarkStart w:id="4" w:name="_Toc103615828"/>
      <w:r w:rsidRPr="00FC25FB">
        <w:rPr>
          <w:b w:val="0"/>
          <w:bCs/>
          <w:color w:val="4472C4"/>
          <w:sz w:val="28"/>
          <w:szCs w:val="28"/>
        </w:rPr>
        <w:t>Lecciones</w:t>
      </w:r>
      <w:bookmarkEnd w:id="4"/>
    </w:p>
    <w:p w:rsidR="00FC25FB" w:rsidRPr="00FC25FB" w:rsidRDefault="00FC25FB" w:rsidP="00FC25FB">
      <w:pPr>
        <w:jc w:val="both"/>
        <w:rPr>
          <w:b/>
          <w:bCs/>
          <w:color w:val="4472C4"/>
          <w:sz w:val="24"/>
          <w:szCs w:val="24"/>
        </w:rPr>
      </w:pPr>
      <w:r w:rsidRPr="00FC25FB">
        <w:rPr>
          <w:b/>
          <w:bCs/>
          <w:color w:val="4472C4"/>
          <w:sz w:val="32"/>
          <w:szCs w:val="32"/>
        </w:rPr>
        <w:t>______________________________________________________</w:t>
      </w:r>
    </w:p>
    <w:p w:rsidR="00FC25FB" w:rsidRPr="00EC1648" w:rsidRDefault="00FC25FB" w:rsidP="00FC25FB">
      <w:pPr>
        <w:jc w:val="both"/>
        <w:rPr>
          <w:sz w:val="24"/>
          <w:szCs w:val="24"/>
        </w:rPr>
      </w:pPr>
    </w:p>
    <w:p w:rsidR="00FC25FB" w:rsidRPr="00EC1648" w:rsidRDefault="00FC25FB" w:rsidP="00FC25FB">
      <w:pPr>
        <w:jc w:val="both"/>
        <w:rPr>
          <w:sz w:val="24"/>
          <w:szCs w:val="24"/>
        </w:rPr>
      </w:pPr>
    </w:p>
    <w:p w:rsidR="00FC25FB" w:rsidRPr="000A5C44" w:rsidRDefault="00C025D4" w:rsidP="00FC25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Lección 1: </w:t>
      </w:r>
      <w:r w:rsidRPr="00C025D4">
        <w:rPr>
          <w:sz w:val="24"/>
          <w:szCs w:val="24"/>
        </w:rPr>
        <w:t>Marco de respuesta USAR y Metodología INSARAG (IRNAP)</w:t>
      </w:r>
    </w:p>
    <w:p w:rsidR="00FC25FB" w:rsidRPr="00EC1648" w:rsidRDefault="00FC25FB" w:rsidP="00FC25FB">
      <w:pPr>
        <w:jc w:val="both"/>
        <w:rPr>
          <w:sz w:val="24"/>
          <w:szCs w:val="24"/>
        </w:rPr>
      </w:pPr>
      <w:r w:rsidRPr="00EC1648">
        <w:rPr>
          <w:sz w:val="24"/>
          <w:szCs w:val="24"/>
        </w:rPr>
        <w:t xml:space="preserve">Lección 2: </w:t>
      </w:r>
      <w:r w:rsidR="00C025D4" w:rsidRPr="00C025D4">
        <w:rPr>
          <w:sz w:val="24"/>
          <w:szCs w:val="24"/>
        </w:rPr>
        <w:t>Estándares mínimos para grupos nacionales USAR y requerimientos mínimos para el proceso de acreditación y reacreditación</w:t>
      </w:r>
    </w:p>
    <w:p w:rsidR="00FC25FB" w:rsidRDefault="00C025D4" w:rsidP="00FC25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Lección 3: </w:t>
      </w:r>
      <w:r w:rsidRPr="00C025D4">
        <w:rPr>
          <w:sz w:val="24"/>
          <w:szCs w:val="24"/>
        </w:rPr>
        <w:t>Interrelación entre el proceso de acreditación y el proceso de activación de respuesta y coordinación</w:t>
      </w:r>
    </w:p>
    <w:p w:rsidR="00FC25FB" w:rsidRPr="00C025D4" w:rsidRDefault="00C025D4" w:rsidP="00C02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Lección 4: </w:t>
      </w:r>
      <w:r w:rsidRPr="00C025D4">
        <w:rPr>
          <w:sz w:val="24"/>
          <w:szCs w:val="24"/>
        </w:rPr>
        <w:t>Ejercicio de observación de los registros documentales del proceso de acreditación nacional USAR</w:t>
      </w:r>
    </w:p>
    <w:p w:rsidR="00FC25FB" w:rsidRPr="00EC1648" w:rsidRDefault="00FC25FB" w:rsidP="00FC25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Lección 5: </w:t>
      </w:r>
      <w:r w:rsidRPr="00D32DF8">
        <w:rPr>
          <w:sz w:val="24"/>
          <w:szCs w:val="24"/>
        </w:rPr>
        <w:t>Desarrollo de un Plan de Acción relacionado con la estandarizac</w:t>
      </w:r>
      <w:r w:rsidR="008B4B1E">
        <w:rPr>
          <w:sz w:val="24"/>
          <w:szCs w:val="24"/>
        </w:rPr>
        <w:t>ión de la gestión y respuesta al riesgo urbano</w:t>
      </w:r>
    </w:p>
    <w:p w:rsidR="00FC25FB" w:rsidRPr="00EC1648" w:rsidRDefault="00FC25FB" w:rsidP="00FC25FB">
      <w:pPr>
        <w:jc w:val="both"/>
        <w:rPr>
          <w:sz w:val="24"/>
          <w:szCs w:val="24"/>
        </w:rPr>
      </w:pPr>
      <w:r w:rsidRPr="00EC1648">
        <w:rPr>
          <w:sz w:val="24"/>
          <w:szCs w:val="24"/>
        </w:rPr>
        <w:br w:type="page"/>
      </w:r>
    </w:p>
    <w:p w:rsidR="00FC25FB" w:rsidRPr="00FC25FB" w:rsidRDefault="00FC25FB" w:rsidP="00FC25FB">
      <w:pPr>
        <w:pStyle w:val="Ttulo2"/>
        <w:jc w:val="both"/>
        <w:rPr>
          <w:rFonts w:cs="Times New Roman"/>
          <w:b w:val="0"/>
          <w:bCs/>
          <w:color w:val="4472C4"/>
          <w:sz w:val="28"/>
          <w:szCs w:val="28"/>
        </w:rPr>
      </w:pPr>
      <w:bookmarkStart w:id="5" w:name="_Toc64336900"/>
      <w:bookmarkStart w:id="6" w:name="_Toc103615829"/>
      <w:r w:rsidRPr="00FC25FB">
        <w:rPr>
          <w:rFonts w:cs="Times New Roman"/>
          <w:b w:val="0"/>
          <w:bCs/>
          <w:color w:val="4472C4"/>
          <w:sz w:val="28"/>
          <w:szCs w:val="28"/>
        </w:rPr>
        <w:t>Contenidos e indicadores de logro</w:t>
      </w:r>
      <w:bookmarkEnd w:id="5"/>
      <w:bookmarkEnd w:id="6"/>
    </w:p>
    <w:p w:rsidR="00FC25FB" w:rsidRPr="00FC25FB" w:rsidRDefault="00FC25FB" w:rsidP="00FC25FB">
      <w:pPr>
        <w:jc w:val="both"/>
        <w:rPr>
          <w:b/>
          <w:bCs/>
          <w:color w:val="4472C4"/>
          <w:sz w:val="24"/>
          <w:szCs w:val="24"/>
        </w:rPr>
      </w:pPr>
      <w:r w:rsidRPr="00FC25FB">
        <w:rPr>
          <w:b/>
          <w:bCs/>
          <w:color w:val="4472C4"/>
          <w:sz w:val="32"/>
          <w:szCs w:val="32"/>
        </w:rPr>
        <w:t>______________________________________________________</w:t>
      </w:r>
    </w:p>
    <w:p w:rsidR="00FC25FB" w:rsidRPr="00FC25FB" w:rsidRDefault="00FC25FB" w:rsidP="00FC25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Soho Gothic Pro" w:cs="Calibri"/>
          <w:sz w:val="24"/>
          <w:szCs w:val="24"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1980"/>
        <w:gridCol w:w="1431"/>
        <w:gridCol w:w="979"/>
        <w:gridCol w:w="4438"/>
      </w:tblGrid>
      <w:tr w:rsidR="00FC25FB" w:rsidRPr="00EC1648" w:rsidTr="004D30EA"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FC25FB" w:rsidRPr="004D30EA" w:rsidRDefault="00FC25FB" w:rsidP="004D30EA">
            <w:pPr>
              <w:spacing w:before="120" w:after="120"/>
              <w:jc w:val="both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FC25FB" w:rsidRPr="004D30EA" w:rsidRDefault="00FC25FB" w:rsidP="004D30EA">
            <w:pPr>
              <w:spacing w:before="120" w:after="120"/>
              <w:jc w:val="both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4D30EA">
              <w:rPr>
                <w:rFonts w:cs="Calibri"/>
                <w:b/>
                <w:bCs/>
                <w:color w:val="FFFFFF"/>
                <w:sz w:val="24"/>
                <w:szCs w:val="24"/>
              </w:rPr>
              <w:t>Contenidos</w:t>
            </w:r>
          </w:p>
        </w:tc>
        <w:tc>
          <w:tcPr>
            <w:tcW w:w="97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FC25FB" w:rsidRPr="004D30EA" w:rsidRDefault="00FC25FB" w:rsidP="004D30EA">
            <w:pPr>
              <w:spacing w:before="120" w:after="120"/>
              <w:jc w:val="both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FC25FB" w:rsidRPr="004D30EA" w:rsidRDefault="00FC25FB" w:rsidP="004D30EA">
            <w:pPr>
              <w:spacing w:before="120" w:after="120"/>
              <w:jc w:val="both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4D30EA">
              <w:rPr>
                <w:rFonts w:cs="Calibri"/>
                <w:b/>
                <w:bCs/>
                <w:color w:val="FFFFFF"/>
                <w:sz w:val="24"/>
                <w:szCs w:val="24"/>
              </w:rPr>
              <w:t>Indicadores de evaluación</w:t>
            </w:r>
          </w:p>
        </w:tc>
      </w:tr>
      <w:tr w:rsidR="00FC25FB" w:rsidRPr="00EC1648" w:rsidTr="004D30EA">
        <w:tc>
          <w:tcPr>
            <w:tcW w:w="8828" w:type="dxa"/>
            <w:gridSpan w:val="4"/>
            <w:shd w:val="clear" w:color="auto" w:fill="DEEAF6"/>
          </w:tcPr>
          <w:p w:rsidR="00FC25FB" w:rsidRPr="004D30EA" w:rsidRDefault="00FC25FB" w:rsidP="004D30EA">
            <w:pPr>
              <w:spacing w:before="120" w:after="12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D30EA">
              <w:rPr>
                <w:rFonts w:cs="Calibri"/>
                <w:b/>
                <w:bCs/>
                <w:color w:val="000000"/>
                <w:sz w:val="24"/>
                <w:szCs w:val="24"/>
              </w:rPr>
              <w:t>Lección 1</w:t>
            </w:r>
          </w:p>
        </w:tc>
      </w:tr>
      <w:tr w:rsidR="00FC25FB" w:rsidRPr="00EC1648" w:rsidTr="004D30EA">
        <w:tc>
          <w:tcPr>
            <w:tcW w:w="4390" w:type="dxa"/>
            <w:gridSpan w:val="3"/>
            <w:shd w:val="clear" w:color="auto" w:fill="auto"/>
          </w:tcPr>
          <w:p w:rsidR="00FC25FB" w:rsidRPr="004D30EA" w:rsidRDefault="00FC25FB" w:rsidP="004D30EA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D30EA">
              <w:rPr>
                <w:rFonts w:cs="Calibri"/>
                <w:b/>
                <w:bCs/>
                <w:sz w:val="24"/>
                <w:szCs w:val="24"/>
              </w:rPr>
              <w:t>Marco de respuesta USAR y Metodología INSARAG (IRNAP)</w:t>
            </w:r>
          </w:p>
        </w:tc>
        <w:tc>
          <w:tcPr>
            <w:tcW w:w="4438" w:type="dxa"/>
            <w:shd w:val="clear" w:color="auto" w:fill="auto"/>
          </w:tcPr>
          <w:p w:rsidR="00FC25FB" w:rsidRPr="004D30EA" w:rsidRDefault="00FC25FB" w:rsidP="004D30EA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cs="Calibri"/>
                <w:sz w:val="24"/>
                <w:szCs w:val="24"/>
              </w:rPr>
            </w:pPr>
            <w:r w:rsidRPr="004D30EA">
              <w:rPr>
                <w:rFonts w:cs="Calibri"/>
                <w:sz w:val="24"/>
                <w:szCs w:val="24"/>
              </w:rPr>
              <w:t>Conocer qué es una Guía INSARAG (IRNAP).</w:t>
            </w:r>
          </w:p>
          <w:p w:rsidR="00FC25FB" w:rsidRPr="004D30EA" w:rsidRDefault="00FC25FB" w:rsidP="004D30EA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cs="Calibri"/>
                <w:sz w:val="24"/>
                <w:szCs w:val="24"/>
              </w:rPr>
            </w:pPr>
            <w:r w:rsidRPr="004D30EA">
              <w:rPr>
                <w:rFonts w:cs="Calibri"/>
                <w:sz w:val="24"/>
                <w:szCs w:val="24"/>
              </w:rPr>
              <w:t>Definir qué es y el marco de respuesta un grupo USAR.</w:t>
            </w:r>
          </w:p>
          <w:p w:rsidR="00FC25FB" w:rsidRPr="004D30EA" w:rsidRDefault="00FC25FB" w:rsidP="004D30EA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cs="Calibri"/>
                <w:sz w:val="24"/>
                <w:szCs w:val="24"/>
              </w:rPr>
            </w:pPr>
            <w:r w:rsidRPr="004D30EA">
              <w:rPr>
                <w:rFonts w:cs="Calibri"/>
                <w:sz w:val="24"/>
                <w:szCs w:val="24"/>
              </w:rPr>
              <w:t>Describir metodologías y procesos de acreditación INSARAG.</w:t>
            </w:r>
          </w:p>
        </w:tc>
      </w:tr>
      <w:tr w:rsidR="00FC25FB" w:rsidRPr="00EC1648" w:rsidTr="004D30EA">
        <w:tc>
          <w:tcPr>
            <w:tcW w:w="8828" w:type="dxa"/>
            <w:gridSpan w:val="4"/>
            <w:shd w:val="clear" w:color="auto" w:fill="DEEAF6"/>
          </w:tcPr>
          <w:p w:rsidR="00FC25FB" w:rsidRPr="004D30EA" w:rsidRDefault="00FC25FB" w:rsidP="004D30EA">
            <w:pPr>
              <w:spacing w:before="120" w:after="12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D30EA">
              <w:rPr>
                <w:rFonts w:cs="Calibri"/>
                <w:b/>
                <w:bCs/>
                <w:color w:val="000000"/>
                <w:sz w:val="24"/>
                <w:szCs w:val="24"/>
              </w:rPr>
              <w:t>Lección 2</w:t>
            </w:r>
          </w:p>
        </w:tc>
      </w:tr>
      <w:tr w:rsidR="00FC25FB" w:rsidRPr="00EC1648" w:rsidTr="004D30EA">
        <w:tc>
          <w:tcPr>
            <w:tcW w:w="4390" w:type="dxa"/>
            <w:gridSpan w:val="3"/>
            <w:shd w:val="clear" w:color="auto" w:fill="auto"/>
          </w:tcPr>
          <w:p w:rsidR="00FC25FB" w:rsidRPr="004D30EA" w:rsidRDefault="00FC25FB" w:rsidP="004D30EA">
            <w:pPr>
              <w:pStyle w:val="Prrafodelista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D30EA">
              <w:rPr>
                <w:b/>
                <w:bCs/>
                <w:sz w:val="24"/>
                <w:szCs w:val="24"/>
              </w:rPr>
              <w:t>Estándares mínimos para grupos nacionales USAR y requerimientos mínimos para el proceso de acreditación y reacreditación</w:t>
            </w:r>
          </w:p>
        </w:tc>
        <w:tc>
          <w:tcPr>
            <w:tcW w:w="4438" w:type="dxa"/>
            <w:shd w:val="clear" w:color="auto" w:fill="auto"/>
          </w:tcPr>
          <w:p w:rsidR="00FC25FB" w:rsidRPr="004D30EA" w:rsidRDefault="00FC25FB" w:rsidP="004D30EA">
            <w:pPr>
              <w:pStyle w:val="Prrafodelista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D30EA">
              <w:rPr>
                <w:sz w:val="24"/>
                <w:szCs w:val="24"/>
              </w:rPr>
              <w:t>Conocer el Manual de aplicación nacional de Bomberos de Chile conforme estándar IRNAP.</w:t>
            </w:r>
          </w:p>
          <w:p w:rsidR="00FC25FB" w:rsidRPr="004D30EA" w:rsidRDefault="00FC25FB" w:rsidP="004D30EA">
            <w:pPr>
              <w:pStyle w:val="Prrafodelista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D30EA">
              <w:rPr>
                <w:sz w:val="24"/>
                <w:szCs w:val="24"/>
              </w:rPr>
              <w:t>Describir cada uno de los requerimientos mínimos para el proceso de acreditación y reacreditación.</w:t>
            </w:r>
          </w:p>
          <w:p w:rsidR="00FC25FB" w:rsidRPr="004D30EA" w:rsidRDefault="00FC25FB" w:rsidP="004D30EA">
            <w:pPr>
              <w:pStyle w:val="Prrafodelista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D30EA">
              <w:rPr>
                <w:sz w:val="24"/>
                <w:szCs w:val="24"/>
              </w:rPr>
              <w:t>Definir las competencias, habilidades, equipamiento y estructura para responder de manera orgánica, sistematizada de capacidades USAR nacionales.</w:t>
            </w:r>
          </w:p>
        </w:tc>
      </w:tr>
      <w:tr w:rsidR="00FC25FB" w:rsidRPr="00EC1648" w:rsidTr="004D30EA">
        <w:tc>
          <w:tcPr>
            <w:tcW w:w="8828" w:type="dxa"/>
            <w:gridSpan w:val="4"/>
            <w:shd w:val="clear" w:color="auto" w:fill="DEEAF6"/>
          </w:tcPr>
          <w:p w:rsidR="00FC25FB" w:rsidRPr="004D30EA" w:rsidRDefault="00FC25FB" w:rsidP="004D30EA">
            <w:pPr>
              <w:spacing w:before="120" w:after="12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D30EA">
              <w:rPr>
                <w:rFonts w:cs="Calibri"/>
                <w:b/>
                <w:bCs/>
                <w:color w:val="000000"/>
                <w:sz w:val="24"/>
                <w:szCs w:val="24"/>
              </w:rPr>
              <w:t>Lección 3</w:t>
            </w:r>
          </w:p>
        </w:tc>
      </w:tr>
      <w:tr w:rsidR="00FC25FB" w:rsidRPr="00EC1648" w:rsidTr="004D30EA">
        <w:tc>
          <w:tcPr>
            <w:tcW w:w="4390" w:type="dxa"/>
            <w:gridSpan w:val="3"/>
            <w:shd w:val="clear" w:color="auto" w:fill="auto"/>
          </w:tcPr>
          <w:p w:rsidR="00FC25FB" w:rsidRPr="004D30EA" w:rsidRDefault="00FC25FB" w:rsidP="004D30EA">
            <w:pPr>
              <w:pStyle w:val="Prrafodelista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D30EA">
              <w:rPr>
                <w:b/>
                <w:bCs/>
                <w:sz w:val="24"/>
                <w:szCs w:val="24"/>
              </w:rPr>
              <w:t>Interrelación entre el proceso de acreditación y el proceso de activación de respuesta y coordinación</w:t>
            </w:r>
          </w:p>
        </w:tc>
        <w:tc>
          <w:tcPr>
            <w:tcW w:w="4438" w:type="dxa"/>
            <w:shd w:val="clear" w:color="auto" w:fill="auto"/>
          </w:tcPr>
          <w:p w:rsidR="00FC25FB" w:rsidRDefault="00FC25FB" w:rsidP="004D30EA">
            <w:pPr>
              <w:numPr>
                <w:ilvl w:val="0"/>
                <w:numId w:val="8"/>
              </w:numPr>
            </w:pPr>
            <w:r w:rsidRPr="00B62828">
              <w:t>Definir qué es un proceso de activación de respuesta coordinado.</w:t>
            </w:r>
          </w:p>
          <w:p w:rsidR="00FC25FB" w:rsidRDefault="00FC25FB" w:rsidP="004D30EA">
            <w:pPr>
              <w:numPr>
                <w:ilvl w:val="0"/>
                <w:numId w:val="8"/>
              </w:numPr>
            </w:pPr>
            <w:r>
              <w:t xml:space="preserve">Conocer el proceso de activación y coordinación con la sala de crisis del Sistema Nacional de Operaciones, a través de la guía de siclo operacional. </w:t>
            </w:r>
          </w:p>
          <w:p w:rsidR="00FC25FB" w:rsidRPr="00B62828" w:rsidRDefault="00FC25FB" w:rsidP="004D30EA">
            <w:pPr>
              <w:numPr>
                <w:ilvl w:val="0"/>
                <w:numId w:val="8"/>
              </w:numPr>
            </w:pPr>
            <w:r>
              <w:t>Conocer los formularios de coordinación del proceso de respuesta del grupo USAR nacional.</w:t>
            </w:r>
          </w:p>
        </w:tc>
      </w:tr>
      <w:tr w:rsidR="00FC25FB" w:rsidRPr="00EC1648" w:rsidTr="004D30EA">
        <w:tc>
          <w:tcPr>
            <w:tcW w:w="8828" w:type="dxa"/>
            <w:gridSpan w:val="4"/>
            <w:shd w:val="clear" w:color="auto" w:fill="DEEAF6"/>
          </w:tcPr>
          <w:p w:rsidR="00FC25FB" w:rsidRPr="004D30EA" w:rsidRDefault="00FC25FB" w:rsidP="004D30EA">
            <w:pPr>
              <w:spacing w:before="120" w:after="12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D30EA">
              <w:rPr>
                <w:rFonts w:cs="Calibri"/>
                <w:b/>
                <w:bCs/>
                <w:color w:val="000000"/>
                <w:sz w:val="24"/>
                <w:szCs w:val="24"/>
              </w:rPr>
              <w:t>Lección 4</w:t>
            </w:r>
          </w:p>
        </w:tc>
      </w:tr>
      <w:tr w:rsidR="00FC25FB" w:rsidRPr="00EC1648" w:rsidTr="004D30EA">
        <w:tc>
          <w:tcPr>
            <w:tcW w:w="4390" w:type="dxa"/>
            <w:gridSpan w:val="3"/>
            <w:shd w:val="clear" w:color="auto" w:fill="auto"/>
          </w:tcPr>
          <w:p w:rsidR="00FC25FB" w:rsidRPr="004D30EA" w:rsidRDefault="00FC25FB" w:rsidP="004D30EA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D30EA">
              <w:rPr>
                <w:rFonts w:cs="Calibri"/>
                <w:b/>
                <w:bCs/>
                <w:sz w:val="24"/>
                <w:szCs w:val="24"/>
              </w:rPr>
              <w:t xml:space="preserve">Ejercicio de observación de los registros documentales del proceso de acreditación nacional USAR </w:t>
            </w:r>
          </w:p>
          <w:p w:rsidR="00FC25FB" w:rsidRPr="004D30EA" w:rsidRDefault="00FC25FB" w:rsidP="004D30EA">
            <w:pPr>
              <w:spacing w:before="120" w:after="12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438" w:type="dxa"/>
            <w:shd w:val="clear" w:color="auto" w:fill="auto"/>
          </w:tcPr>
          <w:p w:rsidR="00FC25FB" w:rsidRPr="004D30EA" w:rsidRDefault="00FC25FB" w:rsidP="004D30EA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D30EA">
              <w:rPr>
                <w:sz w:val="24"/>
                <w:szCs w:val="24"/>
              </w:rPr>
              <w:t>Observar referencia documental.</w:t>
            </w:r>
          </w:p>
          <w:p w:rsidR="00FC25FB" w:rsidRPr="004D30EA" w:rsidRDefault="00FC25FB" w:rsidP="004D30EA">
            <w:pPr>
              <w:pStyle w:val="Prrafodelista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D30EA">
              <w:rPr>
                <w:sz w:val="24"/>
                <w:szCs w:val="24"/>
              </w:rPr>
              <w:t>Evaluar las competencias, habilidades, equipamiento y estructura para responder de manera orgánica, sistematizada e internacionalmente normada.</w:t>
            </w:r>
          </w:p>
        </w:tc>
      </w:tr>
      <w:tr w:rsidR="00FC25FB" w:rsidRPr="00EC1648" w:rsidTr="004D30EA">
        <w:tc>
          <w:tcPr>
            <w:tcW w:w="8828" w:type="dxa"/>
            <w:gridSpan w:val="4"/>
            <w:shd w:val="clear" w:color="auto" w:fill="DEEAF6"/>
          </w:tcPr>
          <w:p w:rsidR="00FC25FB" w:rsidRPr="004D30EA" w:rsidRDefault="00FC25FB" w:rsidP="004D30EA">
            <w:pPr>
              <w:spacing w:before="120" w:after="12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D30EA">
              <w:rPr>
                <w:rFonts w:cs="Calibri"/>
                <w:b/>
                <w:bCs/>
                <w:color w:val="000000"/>
                <w:sz w:val="24"/>
                <w:szCs w:val="24"/>
              </w:rPr>
              <w:t>Lección 5</w:t>
            </w:r>
          </w:p>
        </w:tc>
      </w:tr>
      <w:tr w:rsidR="00FC25FB" w:rsidRPr="00EC1648" w:rsidTr="004D30EA">
        <w:tc>
          <w:tcPr>
            <w:tcW w:w="4390" w:type="dxa"/>
            <w:gridSpan w:val="3"/>
            <w:shd w:val="clear" w:color="auto" w:fill="auto"/>
          </w:tcPr>
          <w:p w:rsidR="00FC25FB" w:rsidRPr="004D30EA" w:rsidRDefault="00FC25FB" w:rsidP="00C025D4">
            <w:pPr>
              <w:numPr>
                <w:ilvl w:val="0"/>
                <w:numId w:val="15"/>
              </w:numPr>
              <w:spacing w:before="120" w:after="12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4D30EA">
              <w:rPr>
                <w:rFonts w:cs="Calibri"/>
                <w:b/>
                <w:bCs/>
                <w:sz w:val="24"/>
                <w:szCs w:val="24"/>
              </w:rPr>
              <w:t xml:space="preserve">Desarrollo de un Plan de Acción relacionado con la estandarización de la </w:t>
            </w:r>
            <w:r w:rsidR="005219FD" w:rsidRPr="004D30EA">
              <w:rPr>
                <w:rFonts w:cs="Calibri"/>
                <w:b/>
                <w:bCs/>
                <w:sz w:val="24"/>
                <w:szCs w:val="24"/>
              </w:rPr>
              <w:t xml:space="preserve">gestión y respuesta </w:t>
            </w:r>
            <w:r w:rsidR="00C025D4">
              <w:rPr>
                <w:rFonts w:cs="Calibri"/>
                <w:b/>
                <w:bCs/>
                <w:sz w:val="24"/>
                <w:szCs w:val="24"/>
              </w:rPr>
              <w:t>al riego urbano</w:t>
            </w:r>
          </w:p>
        </w:tc>
        <w:tc>
          <w:tcPr>
            <w:tcW w:w="4438" w:type="dxa"/>
            <w:shd w:val="clear" w:color="auto" w:fill="auto"/>
          </w:tcPr>
          <w:p w:rsidR="005219FD" w:rsidRPr="004D30EA" w:rsidRDefault="005219FD" w:rsidP="004D30EA">
            <w:pPr>
              <w:numPr>
                <w:ilvl w:val="0"/>
                <w:numId w:val="10"/>
              </w:numPr>
              <w:spacing w:before="120" w:after="120"/>
              <w:jc w:val="both"/>
              <w:rPr>
                <w:rFonts w:cs="Calibri"/>
                <w:sz w:val="24"/>
                <w:szCs w:val="24"/>
              </w:rPr>
            </w:pPr>
            <w:r w:rsidRPr="004D30EA">
              <w:rPr>
                <w:rFonts w:cs="Calibri"/>
                <w:sz w:val="24"/>
                <w:szCs w:val="24"/>
              </w:rPr>
              <w:t>Definir qué es un Plan de Acción.</w:t>
            </w:r>
          </w:p>
          <w:p w:rsidR="00FC25FB" w:rsidRPr="004D30EA" w:rsidRDefault="005219FD" w:rsidP="004D30EA">
            <w:pPr>
              <w:pStyle w:val="Prrafodelista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D30EA">
              <w:rPr>
                <w:sz w:val="24"/>
                <w:szCs w:val="24"/>
              </w:rPr>
              <w:t>Desarrollar un Plan de Acción.</w:t>
            </w:r>
          </w:p>
        </w:tc>
      </w:tr>
    </w:tbl>
    <w:p w:rsidR="00FC25FB" w:rsidRPr="00FC25FB" w:rsidRDefault="00FC25FB" w:rsidP="00FC25F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cs="Calibri"/>
          <w:sz w:val="24"/>
          <w:szCs w:val="24"/>
        </w:rPr>
      </w:pPr>
    </w:p>
    <w:p w:rsidR="00FC25FB" w:rsidRPr="00FC25FB" w:rsidRDefault="00FC25FB" w:rsidP="00FC25FB">
      <w:pPr>
        <w:jc w:val="both"/>
        <w:rPr>
          <w:sz w:val="24"/>
          <w:szCs w:val="24"/>
        </w:rPr>
      </w:pPr>
      <w:r w:rsidRPr="00EC1648">
        <w:rPr>
          <w:sz w:val="24"/>
          <w:szCs w:val="24"/>
        </w:rPr>
        <w:br w:type="page"/>
      </w:r>
      <w:r w:rsidRPr="00FC25FB">
        <w:rPr>
          <w:bCs/>
          <w:color w:val="4472C4"/>
          <w:sz w:val="28"/>
          <w:szCs w:val="28"/>
        </w:rPr>
        <w:t>Estrategia metodológica</w:t>
      </w:r>
      <w:r w:rsidRPr="00FC25FB">
        <w:rPr>
          <w:sz w:val="24"/>
          <w:szCs w:val="24"/>
        </w:rPr>
        <w:t xml:space="preserve"> </w:t>
      </w:r>
    </w:p>
    <w:p w:rsidR="00FC25FB" w:rsidRPr="00FC25FB" w:rsidRDefault="00FC25FB" w:rsidP="00FC25FB">
      <w:pPr>
        <w:jc w:val="both"/>
        <w:rPr>
          <w:b/>
          <w:bCs/>
          <w:color w:val="4472C4"/>
          <w:sz w:val="24"/>
          <w:szCs w:val="24"/>
        </w:rPr>
      </w:pPr>
      <w:r w:rsidRPr="00FC25FB">
        <w:rPr>
          <w:b/>
          <w:bCs/>
          <w:color w:val="4472C4"/>
          <w:sz w:val="32"/>
          <w:szCs w:val="32"/>
        </w:rPr>
        <w:t>______________________________________________________</w:t>
      </w:r>
    </w:p>
    <w:p w:rsidR="00FC25FB" w:rsidRPr="00EC1648" w:rsidRDefault="00FC25FB" w:rsidP="00FC25FB">
      <w:pPr>
        <w:jc w:val="both"/>
        <w:rPr>
          <w:sz w:val="24"/>
          <w:szCs w:val="24"/>
        </w:rPr>
      </w:pPr>
    </w:p>
    <w:p w:rsidR="00FC25FB" w:rsidRPr="00EC1648" w:rsidRDefault="00FC25FB" w:rsidP="00FC25FB">
      <w:pPr>
        <w:jc w:val="both"/>
        <w:rPr>
          <w:sz w:val="24"/>
          <w:szCs w:val="24"/>
        </w:rPr>
      </w:pPr>
      <w:r w:rsidRPr="00EC1648">
        <w:rPr>
          <w:sz w:val="24"/>
          <w:szCs w:val="24"/>
        </w:rPr>
        <w:t xml:space="preserve">La estrategia metodológica utilizada en el curso </w:t>
      </w:r>
      <w:r>
        <w:rPr>
          <w:sz w:val="24"/>
          <w:szCs w:val="24"/>
        </w:rPr>
        <w:t>se orienta</w:t>
      </w:r>
      <w:r w:rsidRPr="00EC1648">
        <w:rPr>
          <w:sz w:val="24"/>
          <w:szCs w:val="24"/>
        </w:rPr>
        <w:t xml:space="preserve"> al reconocimiento e identificación de conceptos y respecto al rol, alcance y responsabilidad que tiene </w:t>
      </w:r>
      <w:r>
        <w:rPr>
          <w:sz w:val="24"/>
          <w:szCs w:val="24"/>
        </w:rPr>
        <w:t xml:space="preserve">un rescatista en incidentes búsqueda y rescate urbano, en el marco de un proceso estandarizado internacionalmente. </w:t>
      </w:r>
    </w:p>
    <w:p w:rsidR="00FC25FB" w:rsidRPr="00EC1648" w:rsidRDefault="00FC25FB" w:rsidP="00FC25FB">
      <w:pPr>
        <w:jc w:val="both"/>
        <w:rPr>
          <w:sz w:val="24"/>
          <w:szCs w:val="24"/>
        </w:rPr>
      </w:pPr>
      <w:r w:rsidRPr="00EC1648">
        <w:rPr>
          <w:sz w:val="24"/>
          <w:szCs w:val="24"/>
        </w:rPr>
        <w:t>El curso se desarrollará</w:t>
      </w:r>
      <w:r>
        <w:rPr>
          <w:sz w:val="24"/>
          <w:szCs w:val="24"/>
        </w:rPr>
        <w:t xml:space="preserve"> a través de módulos de auto instrucción online</w:t>
      </w:r>
      <w:r w:rsidRPr="00EC1648">
        <w:rPr>
          <w:sz w:val="24"/>
          <w:szCs w:val="24"/>
        </w:rPr>
        <w:t xml:space="preserve">, donde se desarrollarán los contenidos </w:t>
      </w:r>
      <w:r>
        <w:rPr>
          <w:sz w:val="24"/>
          <w:szCs w:val="24"/>
        </w:rPr>
        <w:t xml:space="preserve">atingentes al curso. Considera </w:t>
      </w:r>
      <w:r w:rsidRPr="00EC1648">
        <w:rPr>
          <w:sz w:val="24"/>
          <w:szCs w:val="24"/>
        </w:rPr>
        <w:t>un desarrollo práctico en aula</w:t>
      </w:r>
      <w:r>
        <w:rPr>
          <w:sz w:val="24"/>
          <w:szCs w:val="24"/>
        </w:rPr>
        <w:t xml:space="preserve"> virtual</w:t>
      </w:r>
      <w:r w:rsidRPr="00EC1648">
        <w:rPr>
          <w:sz w:val="24"/>
          <w:szCs w:val="24"/>
        </w:rPr>
        <w:t xml:space="preserve"> donde se implementará el </w:t>
      </w:r>
      <w:r>
        <w:rPr>
          <w:sz w:val="24"/>
          <w:szCs w:val="24"/>
        </w:rPr>
        <w:t>simulacro de ejercicio de acreditación</w:t>
      </w:r>
      <w:r w:rsidRPr="00EC1648">
        <w:rPr>
          <w:sz w:val="24"/>
          <w:szCs w:val="24"/>
        </w:rPr>
        <w:t>.</w:t>
      </w:r>
    </w:p>
    <w:p w:rsidR="00FC25FB" w:rsidRPr="00FC25FB" w:rsidRDefault="00FC25FB" w:rsidP="00FC25FB">
      <w:pPr>
        <w:spacing w:before="120" w:after="120"/>
        <w:jc w:val="both"/>
        <w:rPr>
          <w:rFonts w:eastAsia="Soho Gothic Pro" w:cs="Calibri"/>
          <w:color w:val="262626"/>
          <w:sz w:val="24"/>
          <w:szCs w:val="24"/>
        </w:rPr>
      </w:pPr>
    </w:p>
    <w:p w:rsidR="00FC25FB" w:rsidRPr="009C04EE" w:rsidRDefault="00FC25FB" w:rsidP="00FC25FB">
      <w:pPr>
        <w:rPr>
          <w:rFonts w:cs="Calibri"/>
          <w:b/>
          <w:sz w:val="24"/>
        </w:rPr>
      </w:pPr>
      <w:r w:rsidRPr="009C04EE">
        <w:rPr>
          <w:rFonts w:cs="Calibri"/>
          <w:b/>
          <w:sz w:val="24"/>
        </w:rPr>
        <w:t xml:space="preserve"> </w:t>
      </w:r>
    </w:p>
    <w:p w:rsidR="002549C1" w:rsidRPr="009C04EE" w:rsidRDefault="002549C1" w:rsidP="002549C1">
      <w:pPr>
        <w:jc w:val="center"/>
        <w:rPr>
          <w:rFonts w:cs="Calibri"/>
          <w:b/>
          <w:sz w:val="24"/>
        </w:rPr>
      </w:pPr>
    </w:p>
    <w:sectPr w:rsidR="002549C1" w:rsidRPr="009C04EE" w:rsidSect="000C77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06" w:rsidRDefault="00B83F06" w:rsidP="007A27AC">
      <w:pPr>
        <w:spacing w:after="0" w:line="240" w:lineRule="auto"/>
      </w:pPr>
      <w:r>
        <w:separator/>
      </w:r>
    </w:p>
  </w:endnote>
  <w:endnote w:type="continuationSeparator" w:id="0">
    <w:p w:rsidR="00B83F06" w:rsidRDefault="00B83F06" w:rsidP="007A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oho Gothic Pro">
    <w:altName w:val="Corbel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06" w:rsidRDefault="00B83F06" w:rsidP="007A27AC">
      <w:pPr>
        <w:spacing w:after="0" w:line="240" w:lineRule="auto"/>
      </w:pPr>
      <w:r>
        <w:separator/>
      </w:r>
    </w:p>
  </w:footnote>
  <w:footnote w:type="continuationSeparator" w:id="0">
    <w:p w:rsidR="00B83F06" w:rsidRDefault="00B83F06" w:rsidP="007A2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4E3"/>
    <w:multiLevelType w:val="hybridMultilevel"/>
    <w:tmpl w:val="243C71DA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74B3"/>
    <w:multiLevelType w:val="hybridMultilevel"/>
    <w:tmpl w:val="80105806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07A3"/>
    <w:multiLevelType w:val="hybridMultilevel"/>
    <w:tmpl w:val="5CFCC20E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78B"/>
    <w:multiLevelType w:val="hybridMultilevel"/>
    <w:tmpl w:val="23C6B2EE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9B0"/>
    <w:multiLevelType w:val="hybridMultilevel"/>
    <w:tmpl w:val="C434B7FE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5D9C"/>
    <w:multiLevelType w:val="hybridMultilevel"/>
    <w:tmpl w:val="E35C06D0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14AFA"/>
    <w:multiLevelType w:val="hybridMultilevel"/>
    <w:tmpl w:val="3DC64FD4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5BD9"/>
    <w:multiLevelType w:val="hybridMultilevel"/>
    <w:tmpl w:val="B5C6E714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D36B8"/>
    <w:multiLevelType w:val="hybridMultilevel"/>
    <w:tmpl w:val="D61A634C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41C5A"/>
    <w:multiLevelType w:val="hybridMultilevel"/>
    <w:tmpl w:val="9CC8367C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3355E"/>
    <w:multiLevelType w:val="hybridMultilevel"/>
    <w:tmpl w:val="51163290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E0F3F"/>
    <w:multiLevelType w:val="hybridMultilevel"/>
    <w:tmpl w:val="528E82B0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72FB7"/>
    <w:multiLevelType w:val="hybridMultilevel"/>
    <w:tmpl w:val="5CA80E08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9326C"/>
    <w:multiLevelType w:val="hybridMultilevel"/>
    <w:tmpl w:val="5164EBEC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538AA"/>
    <w:multiLevelType w:val="hybridMultilevel"/>
    <w:tmpl w:val="30A459E2"/>
    <w:lvl w:ilvl="0" w:tplc="334E8D4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AC"/>
    <w:rsid w:val="00040B18"/>
    <w:rsid w:val="0008160C"/>
    <w:rsid w:val="000C7751"/>
    <w:rsid w:val="0010462D"/>
    <w:rsid w:val="00160DAA"/>
    <w:rsid w:val="00173BA1"/>
    <w:rsid w:val="001E3CC9"/>
    <w:rsid w:val="00237528"/>
    <w:rsid w:val="0024025A"/>
    <w:rsid w:val="002524C1"/>
    <w:rsid w:val="002549C1"/>
    <w:rsid w:val="0027148D"/>
    <w:rsid w:val="00277042"/>
    <w:rsid w:val="00292945"/>
    <w:rsid w:val="002A2F64"/>
    <w:rsid w:val="0030078A"/>
    <w:rsid w:val="00344714"/>
    <w:rsid w:val="00347817"/>
    <w:rsid w:val="00360D92"/>
    <w:rsid w:val="003A308B"/>
    <w:rsid w:val="003C1A29"/>
    <w:rsid w:val="00416373"/>
    <w:rsid w:val="00416D86"/>
    <w:rsid w:val="004264A5"/>
    <w:rsid w:val="00484CFA"/>
    <w:rsid w:val="004B524A"/>
    <w:rsid w:val="004D2BEF"/>
    <w:rsid w:val="004D30EA"/>
    <w:rsid w:val="004E140E"/>
    <w:rsid w:val="005219FD"/>
    <w:rsid w:val="00546617"/>
    <w:rsid w:val="005550E1"/>
    <w:rsid w:val="005E6134"/>
    <w:rsid w:val="005F5504"/>
    <w:rsid w:val="00601CF6"/>
    <w:rsid w:val="0060463E"/>
    <w:rsid w:val="0061508A"/>
    <w:rsid w:val="0062331F"/>
    <w:rsid w:val="00646138"/>
    <w:rsid w:val="0065469E"/>
    <w:rsid w:val="00695DE5"/>
    <w:rsid w:val="006968E1"/>
    <w:rsid w:val="006B0D74"/>
    <w:rsid w:val="006C2947"/>
    <w:rsid w:val="006D3E0E"/>
    <w:rsid w:val="006E0778"/>
    <w:rsid w:val="006E522A"/>
    <w:rsid w:val="006E7D54"/>
    <w:rsid w:val="007070F8"/>
    <w:rsid w:val="0079246E"/>
    <w:rsid w:val="007A27AC"/>
    <w:rsid w:val="008202BC"/>
    <w:rsid w:val="00860528"/>
    <w:rsid w:val="008609A7"/>
    <w:rsid w:val="008800FD"/>
    <w:rsid w:val="00883702"/>
    <w:rsid w:val="008937BD"/>
    <w:rsid w:val="00897158"/>
    <w:rsid w:val="008B3872"/>
    <w:rsid w:val="008B4B1E"/>
    <w:rsid w:val="00903C0C"/>
    <w:rsid w:val="00916C06"/>
    <w:rsid w:val="00920E76"/>
    <w:rsid w:val="00946D21"/>
    <w:rsid w:val="00993D57"/>
    <w:rsid w:val="0099749D"/>
    <w:rsid w:val="009C04EE"/>
    <w:rsid w:val="00A133CE"/>
    <w:rsid w:val="00AA3376"/>
    <w:rsid w:val="00B20C59"/>
    <w:rsid w:val="00B33BAF"/>
    <w:rsid w:val="00B35D1B"/>
    <w:rsid w:val="00B44E1F"/>
    <w:rsid w:val="00B57797"/>
    <w:rsid w:val="00B6318A"/>
    <w:rsid w:val="00B7788B"/>
    <w:rsid w:val="00B83F06"/>
    <w:rsid w:val="00B90E74"/>
    <w:rsid w:val="00B95853"/>
    <w:rsid w:val="00BF3071"/>
    <w:rsid w:val="00C00D40"/>
    <w:rsid w:val="00C025D4"/>
    <w:rsid w:val="00C131C6"/>
    <w:rsid w:val="00C1792C"/>
    <w:rsid w:val="00C324FE"/>
    <w:rsid w:val="00CF0B0D"/>
    <w:rsid w:val="00D2108D"/>
    <w:rsid w:val="00D60938"/>
    <w:rsid w:val="00D635EE"/>
    <w:rsid w:val="00D86556"/>
    <w:rsid w:val="00DB4C3B"/>
    <w:rsid w:val="00E24151"/>
    <w:rsid w:val="00E524FD"/>
    <w:rsid w:val="00E6476F"/>
    <w:rsid w:val="00E87F9B"/>
    <w:rsid w:val="00EC590F"/>
    <w:rsid w:val="00F57FA0"/>
    <w:rsid w:val="00FB05B7"/>
    <w:rsid w:val="00F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53EC6E-D625-43EA-A142-EEF8A201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751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25F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rsid w:val="00FC25FB"/>
    <w:pPr>
      <w:keepNext/>
      <w:keepLines/>
      <w:spacing w:before="360" w:after="80"/>
      <w:outlineLvl w:val="1"/>
    </w:pPr>
    <w:rPr>
      <w:rFonts w:cs="Calibri"/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27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A2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27AC"/>
  </w:style>
  <w:style w:type="paragraph" w:styleId="Piedepgina">
    <w:name w:val="footer"/>
    <w:basedOn w:val="Normal"/>
    <w:link w:val="PiedepginaCar"/>
    <w:uiPriority w:val="99"/>
    <w:unhideWhenUsed/>
    <w:rsid w:val="007A2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7AC"/>
  </w:style>
  <w:style w:type="table" w:styleId="Tablaconcuadrcula">
    <w:name w:val="Table Grid"/>
    <w:basedOn w:val="Tablanormal"/>
    <w:uiPriority w:val="59"/>
    <w:rsid w:val="007A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7A27A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medio1-nfasis1">
    <w:name w:val="Medium Shading 1 Accent 1"/>
    <w:basedOn w:val="Tablanormal"/>
    <w:uiPriority w:val="63"/>
    <w:rsid w:val="002549C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233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31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2331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31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2331F"/>
    <w:rPr>
      <w:b/>
      <w:bCs/>
      <w:lang w:eastAsia="en-US"/>
    </w:rPr>
  </w:style>
  <w:style w:type="character" w:customStyle="1" w:styleId="Ttulo2Car">
    <w:name w:val="Título 2 Car"/>
    <w:link w:val="Ttulo2"/>
    <w:rsid w:val="00FC25FB"/>
    <w:rPr>
      <w:rFonts w:cs="Calibri"/>
      <w:b/>
      <w:sz w:val="36"/>
      <w:szCs w:val="36"/>
      <w:lang w:eastAsia="en-US"/>
    </w:rPr>
  </w:style>
  <w:style w:type="paragraph" w:styleId="Prrafodelista">
    <w:name w:val="List Paragraph"/>
    <w:basedOn w:val="Normal"/>
    <w:uiPriority w:val="34"/>
    <w:qFormat/>
    <w:rsid w:val="00FC25FB"/>
    <w:pPr>
      <w:ind w:left="720"/>
      <w:contextualSpacing/>
    </w:pPr>
    <w:rPr>
      <w:rFonts w:cs="Calibri"/>
    </w:rPr>
  </w:style>
  <w:style w:type="table" w:styleId="Tabladecuadrcula4-nfasis5">
    <w:name w:val="Grid Table 4 Accent 5"/>
    <w:basedOn w:val="Tablanormal"/>
    <w:uiPriority w:val="49"/>
    <w:rsid w:val="00FC25F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FC25FB"/>
    <w:pPr>
      <w:spacing w:before="120" w:after="0" w:line="259" w:lineRule="auto"/>
      <w:ind w:left="220"/>
    </w:pPr>
    <w:rPr>
      <w:b/>
      <w:bCs/>
    </w:rPr>
  </w:style>
  <w:style w:type="character" w:customStyle="1" w:styleId="Ttulo1Car">
    <w:name w:val="Título 1 Car"/>
    <w:link w:val="Ttulo1"/>
    <w:uiPriority w:val="9"/>
    <w:rsid w:val="00FC25F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C25FB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es-CL"/>
    </w:rPr>
  </w:style>
  <w:style w:type="character" w:styleId="Hipervnculo">
    <w:name w:val="Hyperlink"/>
    <w:uiPriority w:val="99"/>
    <w:unhideWhenUsed/>
    <w:rsid w:val="00FC25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2FAB-7AC2-43CB-8A96-9487AD97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Links>
    <vt:vector size="30" baseType="variant"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_Toc103615829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_Toc103615828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_Toc103615827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_Toc103615826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_Toc103615825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Cepeda</dc:creator>
  <cp:keywords/>
  <cp:lastModifiedBy>PICUN, Noela</cp:lastModifiedBy>
  <cp:revision>2</cp:revision>
  <cp:lastPrinted>2019-05-24T21:11:00Z</cp:lastPrinted>
  <dcterms:created xsi:type="dcterms:W3CDTF">2023-07-13T13:25:00Z</dcterms:created>
  <dcterms:modified xsi:type="dcterms:W3CDTF">2023-07-13T13:25:00Z</dcterms:modified>
</cp:coreProperties>
</file>