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DD0" w:rsidRDefault="00117DD0" w:rsidP="00117DD0">
      <w:pPr>
        <w:tabs>
          <w:tab w:val="left" w:pos="2355"/>
        </w:tabs>
        <w:rPr>
          <w:b/>
        </w:rPr>
      </w:pPr>
      <w:r>
        <w:rPr>
          <w:b/>
        </w:rPr>
        <w:t>Programa</w:t>
      </w:r>
      <w:r>
        <w:rPr>
          <w:b/>
        </w:rPr>
        <w:tab/>
      </w:r>
    </w:p>
    <w:p w:rsidR="00117DD0" w:rsidRDefault="00117DD0" w:rsidP="00117DD0">
      <w:pPr>
        <w:pStyle w:val="Default"/>
        <w:spacing w:line="276" w:lineRule="auto"/>
        <w:jc w:val="both"/>
        <w:rPr>
          <w:sz w:val="22"/>
          <w:szCs w:val="23"/>
        </w:rPr>
      </w:pPr>
      <w:r>
        <w:rPr>
          <w:b/>
          <w:szCs w:val="23"/>
        </w:rPr>
        <w:t xml:space="preserve">Módulo 1. </w:t>
      </w:r>
      <w:r>
        <w:rPr>
          <w:sz w:val="22"/>
          <w:szCs w:val="23"/>
        </w:rPr>
        <w:t xml:space="preserve">El uso correcto seguro y efectivo de los fitosanitarios. </w:t>
      </w:r>
    </w:p>
    <w:p w:rsidR="00117DD0" w:rsidRDefault="00117DD0" w:rsidP="00117DD0">
      <w:pPr>
        <w:pStyle w:val="Default"/>
        <w:spacing w:line="276" w:lineRule="auto"/>
        <w:ind w:left="708"/>
        <w:jc w:val="both"/>
        <w:rPr>
          <w:sz w:val="22"/>
          <w:szCs w:val="23"/>
        </w:rPr>
      </w:pPr>
      <w:r>
        <w:rPr>
          <w:b/>
        </w:rPr>
        <w:t xml:space="preserve">Unidad </w:t>
      </w:r>
      <w:r>
        <w:rPr>
          <w:b/>
          <w:sz w:val="22"/>
          <w:szCs w:val="23"/>
        </w:rPr>
        <w:t>1</w:t>
      </w:r>
      <w:r>
        <w:rPr>
          <w:sz w:val="22"/>
          <w:szCs w:val="23"/>
        </w:rPr>
        <w:t>. La situación de contexto.</w:t>
      </w:r>
    </w:p>
    <w:p w:rsidR="00117DD0" w:rsidRDefault="00117DD0" w:rsidP="00117DD0">
      <w:pPr>
        <w:pStyle w:val="Default"/>
        <w:spacing w:line="276" w:lineRule="auto"/>
        <w:ind w:left="708"/>
        <w:jc w:val="both"/>
        <w:rPr>
          <w:sz w:val="22"/>
          <w:szCs w:val="23"/>
        </w:rPr>
      </w:pPr>
      <w:r>
        <w:rPr>
          <w:b/>
          <w:sz w:val="22"/>
          <w:szCs w:val="23"/>
        </w:rPr>
        <w:t>Unidad 2</w:t>
      </w:r>
      <w:r>
        <w:rPr>
          <w:sz w:val="22"/>
          <w:szCs w:val="23"/>
        </w:rPr>
        <w:t>. El marco legal en el Uruguay.</w:t>
      </w:r>
    </w:p>
    <w:p w:rsidR="00117DD0" w:rsidRDefault="00117DD0" w:rsidP="00117DD0">
      <w:pPr>
        <w:pStyle w:val="Default"/>
        <w:spacing w:line="276" w:lineRule="auto"/>
        <w:ind w:left="708"/>
        <w:jc w:val="both"/>
        <w:rPr>
          <w:sz w:val="22"/>
          <w:szCs w:val="23"/>
        </w:rPr>
      </w:pPr>
      <w:r>
        <w:rPr>
          <w:b/>
          <w:sz w:val="22"/>
          <w:szCs w:val="23"/>
        </w:rPr>
        <w:t>Unidad 3</w:t>
      </w:r>
      <w:r>
        <w:rPr>
          <w:sz w:val="22"/>
          <w:szCs w:val="23"/>
        </w:rPr>
        <w:t>. Los productos fitosanitarios.</w:t>
      </w:r>
      <w:bookmarkStart w:id="0" w:name="_GoBack"/>
      <w:bookmarkEnd w:id="0"/>
    </w:p>
    <w:p w:rsidR="00117DD0" w:rsidRDefault="00117DD0" w:rsidP="00117DD0">
      <w:pPr>
        <w:pStyle w:val="Default"/>
        <w:spacing w:line="276" w:lineRule="auto"/>
        <w:jc w:val="both"/>
        <w:rPr>
          <w:b/>
          <w:szCs w:val="23"/>
        </w:rPr>
      </w:pPr>
    </w:p>
    <w:p w:rsidR="00117DD0" w:rsidRDefault="00117DD0" w:rsidP="00117DD0">
      <w:pPr>
        <w:pStyle w:val="Default"/>
        <w:spacing w:line="276" w:lineRule="auto"/>
        <w:jc w:val="both"/>
        <w:rPr>
          <w:szCs w:val="23"/>
        </w:rPr>
      </w:pPr>
      <w:r>
        <w:rPr>
          <w:b/>
          <w:szCs w:val="23"/>
        </w:rPr>
        <w:t xml:space="preserve">Módulo 2. </w:t>
      </w:r>
      <w:r>
        <w:rPr>
          <w:szCs w:val="23"/>
        </w:rPr>
        <w:t>El manejo de los fitosanitarios.</w:t>
      </w:r>
    </w:p>
    <w:p w:rsidR="00117DD0" w:rsidRDefault="00117DD0" w:rsidP="00117DD0">
      <w:pPr>
        <w:pStyle w:val="Default"/>
        <w:spacing w:line="276" w:lineRule="auto"/>
        <w:ind w:left="708"/>
        <w:jc w:val="both"/>
        <w:rPr>
          <w:szCs w:val="23"/>
        </w:rPr>
      </w:pPr>
      <w:r>
        <w:rPr>
          <w:szCs w:val="23"/>
        </w:rPr>
        <w:t xml:space="preserve">Compra, transporte, almacenamiento. </w:t>
      </w:r>
    </w:p>
    <w:p w:rsidR="00117DD0" w:rsidRDefault="00117DD0" w:rsidP="00117DD0">
      <w:pPr>
        <w:pStyle w:val="Default"/>
        <w:spacing w:line="276" w:lineRule="auto"/>
        <w:ind w:left="708"/>
        <w:jc w:val="both"/>
        <w:rPr>
          <w:szCs w:val="23"/>
        </w:rPr>
      </w:pPr>
      <w:r>
        <w:rPr>
          <w:szCs w:val="23"/>
        </w:rPr>
        <w:t xml:space="preserve">Limpieza y eliminación de derrames.  </w:t>
      </w:r>
    </w:p>
    <w:p w:rsidR="00117DD0" w:rsidRDefault="00117DD0" w:rsidP="00117DD0">
      <w:pPr>
        <w:pStyle w:val="Default"/>
        <w:spacing w:line="276" w:lineRule="auto"/>
        <w:ind w:left="708"/>
        <w:jc w:val="both"/>
        <w:rPr>
          <w:szCs w:val="23"/>
        </w:rPr>
      </w:pPr>
      <w:r>
        <w:rPr>
          <w:szCs w:val="23"/>
        </w:rPr>
        <w:t xml:space="preserve">Equipos de protección personal y toxicidad de los fitosanitarios. </w:t>
      </w:r>
    </w:p>
    <w:p w:rsidR="00117DD0" w:rsidRDefault="00117DD0" w:rsidP="00117DD0">
      <w:pPr>
        <w:pStyle w:val="Default"/>
        <w:spacing w:line="276" w:lineRule="auto"/>
        <w:ind w:left="708"/>
        <w:jc w:val="both"/>
        <w:rPr>
          <w:szCs w:val="23"/>
        </w:rPr>
      </w:pPr>
      <w:r>
        <w:rPr>
          <w:szCs w:val="23"/>
        </w:rPr>
        <w:t>Campo limpio y gestión de envases.</w:t>
      </w:r>
    </w:p>
    <w:p w:rsidR="00117DD0" w:rsidRDefault="00117DD0" w:rsidP="00117DD0">
      <w:pPr>
        <w:pStyle w:val="Default"/>
        <w:spacing w:line="276" w:lineRule="auto"/>
        <w:ind w:left="708"/>
        <w:jc w:val="both"/>
        <w:rPr>
          <w:szCs w:val="23"/>
        </w:rPr>
      </w:pPr>
      <w:r>
        <w:rPr>
          <w:szCs w:val="23"/>
        </w:rPr>
        <w:t>Riegos de un uso inadecuado de los fitosanitarios.</w:t>
      </w:r>
    </w:p>
    <w:p w:rsidR="00117DD0" w:rsidRDefault="00117DD0" w:rsidP="00117DD0">
      <w:pPr>
        <w:pStyle w:val="Default"/>
        <w:spacing w:line="276" w:lineRule="auto"/>
        <w:jc w:val="both"/>
        <w:rPr>
          <w:b/>
          <w:szCs w:val="23"/>
        </w:rPr>
      </w:pPr>
    </w:p>
    <w:p w:rsidR="00117DD0" w:rsidRDefault="00117DD0" w:rsidP="00117DD0">
      <w:pPr>
        <w:pStyle w:val="Default"/>
        <w:spacing w:line="276" w:lineRule="auto"/>
        <w:jc w:val="both"/>
        <w:rPr>
          <w:szCs w:val="23"/>
        </w:rPr>
      </w:pPr>
      <w:r>
        <w:rPr>
          <w:b/>
          <w:szCs w:val="23"/>
        </w:rPr>
        <w:t>Módulo 3</w:t>
      </w:r>
      <w:r>
        <w:rPr>
          <w:szCs w:val="23"/>
        </w:rPr>
        <w:t>. Los equipos de aplicación.</w:t>
      </w:r>
    </w:p>
    <w:p w:rsidR="00117DD0" w:rsidRDefault="00117DD0" w:rsidP="00117DD0">
      <w:pPr>
        <w:pStyle w:val="Default"/>
        <w:spacing w:line="276" w:lineRule="auto"/>
        <w:ind w:left="708"/>
        <w:jc w:val="both"/>
      </w:pPr>
      <w:r>
        <w:rPr>
          <w:b/>
        </w:rPr>
        <w:t>Unidad 1</w:t>
      </w:r>
      <w:r>
        <w:t>. Componentes de un circuito de pulverización.</w:t>
      </w:r>
    </w:p>
    <w:p w:rsidR="00117DD0" w:rsidRDefault="00117DD0" w:rsidP="00117DD0">
      <w:pPr>
        <w:pStyle w:val="Default"/>
        <w:spacing w:line="276" w:lineRule="auto"/>
        <w:ind w:left="708"/>
        <w:jc w:val="both"/>
      </w:pPr>
      <w:r>
        <w:rPr>
          <w:b/>
        </w:rPr>
        <w:t>Unidad 2</w:t>
      </w:r>
      <w:r>
        <w:t>. Regulación de equipos de pulverización.</w:t>
      </w:r>
    </w:p>
    <w:p w:rsidR="00117DD0" w:rsidRDefault="00117DD0" w:rsidP="00117DD0">
      <w:pPr>
        <w:pStyle w:val="Default"/>
        <w:spacing w:line="276" w:lineRule="auto"/>
        <w:jc w:val="both"/>
        <w:rPr>
          <w:sz w:val="22"/>
          <w:szCs w:val="20"/>
        </w:rPr>
      </w:pPr>
    </w:p>
    <w:p w:rsidR="00117DD0" w:rsidRDefault="00117DD0" w:rsidP="00117DD0">
      <w:pPr>
        <w:pStyle w:val="Default"/>
        <w:spacing w:line="276" w:lineRule="auto"/>
        <w:jc w:val="both"/>
        <w:rPr>
          <w:sz w:val="22"/>
          <w:szCs w:val="20"/>
        </w:rPr>
      </w:pPr>
    </w:p>
    <w:p w:rsidR="00117DD0" w:rsidRDefault="00117DD0" w:rsidP="00117DD0">
      <w:pPr>
        <w:pStyle w:val="Default"/>
        <w:spacing w:line="276" w:lineRule="auto"/>
        <w:jc w:val="both"/>
        <w:rPr>
          <w:sz w:val="22"/>
          <w:szCs w:val="20"/>
        </w:rPr>
      </w:pPr>
      <w:r>
        <w:rPr>
          <w:b/>
          <w:sz w:val="22"/>
          <w:szCs w:val="20"/>
        </w:rPr>
        <w:t>Módulo 4</w:t>
      </w:r>
      <w:r>
        <w:rPr>
          <w:sz w:val="22"/>
          <w:szCs w:val="20"/>
        </w:rPr>
        <w:t>. Tecnologías de aplicación de agroquímicos.</w:t>
      </w:r>
    </w:p>
    <w:p w:rsidR="00117DD0" w:rsidRDefault="00117DD0" w:rsidP="00117DD0">
      <w:pPr>
        <w:pStyle w:val="Default"/>
        <w:spacing w:line="276" w:lineRule="auto"/>
        <w:ind w:left="708"/>
        <w:jc w:val="both"/>
        <w:rPr>
          <w:sz w:val="22"/>
          <w:szCs w:val="20"/>
        </w:rPr>
      </w:pPr>
      <w:r>
        <w:rPr>
          <w:b/>
          <w:sz w:val="22"/>
          <w:szCs w:val="20"/>
        </w:rPr>
        <w:t>Unidad 1</w:t>
      </w:r>
      <w:r>
        <w:rPr>
          <w:sz w:val="22"/>
          <w:szCs w:val="20"/>
        </w:rPr>
        <w:t>. La pre-aplicación.</w:t>
      </w:r>
    </w:p>
    <w:p w:rsidR="00117DD0" w:rsidRDefault="00117DD0" w:rsidP="00117DD0">
      <w:pPr>
        <w:pStyle w:val="Default"/>
        <w:spacing w:line="276" w:lineRule="auto"/>
        <w:ind w:left="708"/>
        <w:jc w:val="both"/>
        <w:rPr>
          <w:sz w:val="22"/>
          <w:szCs w:val="20"/>
        </w:rPr>
      </w:pPr>
      <w:r>
        <w:rPr>
          <w:b/>
          <w:sz w:val="22"/>
          <w:szCs w:val="20"/>
        </w:rPr>
        <w:t>Unidad 2</w:t>
      </w:r>
      <w:r>
        <w:rPr>
          <w:sz w:val="22"/>
          <w:szCs w:val="20"/>
        </w:rPr>
        <w:t>. La aplicación.</w:t>
      </w:r>
    </w:p>
    <w:p w:rsidR="00117DD0" w:rsidRDefault="00117DD0" w:rsidP="00117DD0">
      <w:pPr>
        <w:pStyle w:val="Default"/>
        <w:spacing w:line="276" w:lineRule="auto"/>
        <w:ind w:left="708"/>
        <w:jc w:val="both"/>
        <w:rPr>
          <w:b/>
          <w:sz w:val="28"/>
          <w:szCs w:val="23"/>
        </w:rPr>
      </w:pPr>
      <w:r>
        <w:rPr>
          <w:b/>
          <w:sz w:val="22"/>
          <w:szCs w:val="20"/>
        </w:rPr>
        <w:t>Unidad 3</w:t>
      </w:r>
      <w:r>
        <w:rPr>
          <w:sz w:val="22"/>
          <w:szCs w:val="20"/>
        </w:rPr>
        <w:t>. La post-aplicación.</w:t>
      </w:r>
    </w:p>
    <w:p w:rsidR="00117DD0" w:rsidRDefault="00117DD0" w:rsidP="00117DD0">
      <w:pPr>
        <w:pStyle w:val="Default"/>
        <w:spacing w:line="276" w:lineRule="auto"/>
        <w:jc w:val="both"/>
        <w:rPr>
          <w:b/>
          <w:szCs w:val="23"/>
        </w:rPr>
      </w:pPr>
    </w:p>
    <w:p w:rsidR="00117DD0" w:rsidRDefault="00117DD0" w:rsidP="00117DD0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Jornada práctica 1. </w:t>
      </w:r>
      <w:r>
        <w:rPr>
          <w:sz w:val="22"/>
          <w:szCs w:val="22"/>
        </w:rPr>
        <w:t>EPP, Boquillas, test de compatibilidad y pulverizador estático.</w:t>
      </w:r>
    </w:p>
    <w:p w:rsidR="00E53289" w:rsidRDefault="00117DD0" w:rsidP="00117DD0">
      <w:r>
        <w:rPr>
          <w:b/>
        </w:rPr>
        <w:t xml:space="preserve">Jornada práctica 2. </w:t>
      </w:r>
      <w:r>
        <w:t>Lavado y calibración de equipos.</w:t>
      </w:r>
    </w:p>
    <w:sectPr w:rsidR="00E53289" w:rsidSect="00E532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D0"/>
    <w:rsid w:val="00117DD0"/>
    <w:rsid w:val="00432F4F"/>
    <w:rsid w:val="00E5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94373-CF10-4DA6-B0DA-818873E8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D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17D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Rodriguez Maciel Maite Eliana</cp:lastModifiedBy>
  <cp:revision>2</cp:revision>
  <dcterms:created xsi:type="dcterms:W3CDTF">2019-05-21T17:12:00Z</dcterms:created>
  <dcterms:modified xsi:type="dcterms:W3CDTF">2019-05-21T17:12:00Z</dcterms:modified>
</cp:coreProperties>
</file>