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ED" w:rsidRDefault="00B666A7">
      <w:pPr>
        <w:rPr>
          <w:rFonts w:ascii="Arial Narrow" w:hAnsi="Arial Narrow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42D0F054" wp14:editId="02D9F763">
            <wp:extent cx="6562024" cy="1504950"/>
            <wp:effectExtent l="0" t="0" r="0" b="0"/>
            <wp:docPr id="1" name="Imagen 1" descr="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24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75D" w:rsidRDefault="0092275D">
      <w:pPr>
        <w:rPr>
          <w:rFonts w:ascii="Arial Narrow" w:hAnsi="Arial Narrow"/>
          <w:sz w:val="24"/>
          <w:szCs w:val="24"/>
        </w:rPr>
      </w:pPr>
      <w:r w:rsidRPr="00BC0FED">
        <w:rPr>
          <w:rFonts w:ascii="Arial Narrow" w:hAnsi="Arial Narrow"/>
          <w:sz w:val="24"/>
          <w:szCs w:val="24"/>
        </w:rPr>
        <w:t xml:space="preserve">En aplicación de la </w:t>
      </w:r>
      <w:r w:rsidRPr="00BC0FED">
        <w:rPr>
          <w:rFonts w:ascii="Arial Narrow" w:hAnsi="Arial Narrow"/>
          <w:b/>
          <w:sz w:val="24"/>
          <w:szCs w:val="24"/>
        </w:rPr>
        <w:t>Resolución 1989/22</w:t>
      </w:r>
      <w:r w:rsidRPr="00BC0FED">
        <w:rPr>
          <w:rFonts w:ascii="Arial Narrow" w:hAnsi="Arial Narrow"/>
          <w:sz w:val="24"/>
          <w:szCs w:val="24"/>
        </w:rPr>
        <w:t xml:space="preserve"> del 20 de septiembre de 2022 y el </w:t>
      </w:r>
      <w:r w:rsidRPr="00BC0FED">
        <w:rPr>
          <w:rFonts w:ascii="Arial Narrow" w:hAnsi="Arial Narrow"/>
          <w:b/>
          <w:sz w:val="24"/>
          <w:szCs w:val="24"/>
        </w:rPr>
        <w:t xml:space="preserve">Decreto 330/022 </w:t>
      </w:r>
      <w:r w:rsidRPr="00BC0FED">
        <w:rPr>
          <w:rFonts w:ascii="Arial Narrow" w:hAnsi="Arial Narrow"/>
          <w:sz w:val="24"/>
          <w:szCs w:val="24"/>
        </w:rPr>
        <w:t>del 5 de octubre  de 2022, las Cauciones, Avales o Garantías presentadas ante esta Dirección Nacional, deberán contener los siguientes datos:</w:t>
      </w:r>
    </w:p>
    <w:p w:rsidR="00811566" w:rsidRPr="00811566" w:rsidRDefault="00811566" w:rsidP="00811566">
      <w:pPr>
        <w:jc w:val="center"/>
        <w:rPr>
          <w:rFonts w:ascii="Arial Narrow" w:hAnsi="Arial Narrow"/>
          <w:b/>
          <w:sz w:val="24"/>
          <w:szCs w:val="24"/>
        </w:rPr>
      </w:pPr>
      <w:r w:rsidRPr="00811566">
        <w:rPr>
          <w:rFonts w:ascii="Arial Narrow" w:hAnsi="Arial Narrow"/>
          <w:b/>
          <w:sz w:val="24"/>
          <w:szCs w:val="24"/>
        </w:rPr>
        <w:t>INSTRUCTIVO PARA POLIZAS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11566">
        <w:rPr>
          <w:rFonts w:ascii="Arial Narrow" w:hAnsi="Arial Narrow"/>
          <w:b/>
          <w:sz w:val="24"/>
          <w:szCs w:val="24"/>
        </w:rPr>
        <w:t>DE SEGUROS DE RESPONSABILIDAD CIVIL.</w:t>
      </w:r>
    </w:p>
    <w:p w:rsidR="0092275D" w:rsidRPr="00811566" w:rsidRDefault="00326231" w:rsidP="00811566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11566">
        <w:rPr>
          <w:rFonts w:ascii="Arial Narrow" w:hAnsi="Arial Narrow"/>
          <w:sz w:val="24"/>
          <w:szCs w:val="24"/>
        </w:rPr>
        <w:t xml:space="preserve"> POLIZA DE SEGURO </w:t>
      </w:r>
      <w:r w:rsidR="0092275D" w:rsidRPr="00811566">
        <w:rPr>
          <w:rFonts w:ascii="Arial Narrow" w:hAnsi="Arial Narrow"/>
          <w:sz w:val="24"/>
          <w:szCs w:val="24"/>
        </w:rPr>
        <w:t xml:space="preserve">DE RESPONSABILIDAD CIVIL en beneficio del </w:t>
      </w:r>
      <w:r w:rsidR="00BC0FED">
        <w:rPr>
          <w:rFonts w:ascii="Arial Narrow" w:hAnsi="Arial Narrow"/>
          <w:sz w:val="24"/>
          <w:szCs w:val="24"/>
        </w:rPr>
        <w:t>Estado.</w:t>
      </w:r>
    </w:p>
    <w:p w:rsidR="0092275D" w:rsidRPr="006A4554" w:rsidRDefault="0092275D" w:rsidP="0092275D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A4554">
        <w:rPr>
          <w:rFonts w:ascii="Arial Narrow" w:hAnsi="Arial Narrow"/>
          <w:sz w:val="24"/>
          <w:szCs w:val="24"/>
        </w:rPr>
        <w:t>Monto en pesos Uruguayos, equivalentes a las UR que correspondan según el permiso del que se trate (cotización que se toma al momento de contratar la póliza).</w:t>
      </w:r>
    </w:p>
    <w:p w:rsidR="0092275D" w:rsidRPr="006A4554" w:rsidRDefault="00BC0FED" w:rsidP="0092275D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Identificación; e</w:t>
      </w:r>
      <w:r w:rsidR="0092275D" w:rsidRPr="006A4554">
        <w:rPr>
          <w:rFonts w:ascii="Arial Narrow" w:hAnsi="Arial Narrow"/>
          <w:sz w:val="24"/>
          <w:szCs w:val="24"/>
        </w:rPr>
        <w:t xml:space="preserve">n el cuerpo de la Póliza se deberá establecer de forma clara el </w:t>
      </w:r>
      <w:bookmarkStart w:id="0" w:name="_GoBack"/>
      <w:bookmarkEnd w:id="0"/>
      <w:r w:rsidR="0092275D" w:rsidRPr="006A4554">
        <w:rPr>
          <w:rFonts w:ascii="Arial Narrow" w:hAnsi="Arial Narrow"/>
          <w:sz w:val="24"/>
          <w:szCs w:val="24"/>
        </w:rPr>
        <w:t>número de Asunto al que corresponde y el nombre del Asegurado coincidir con el titular Minero.</w:t>
      </w:r>
    </w:p>
    <w:p w:rsidR="0092275D" w:rsidRPr="006A4554" w:rsidRDefault="0092275D" w:rsidP="0092275D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A4554">
        <w:rPr>
          <w:rFonts w:ascii="Arial Narrow" w:hAnsi="Arial Narrow"/>
          <w:sz w:val="24"/>
          <w:szCs w:val="24"/>
        </w:rPr>
        <w:t xml:space="preserve">Asegurado adicional: se dejara constancia explicita que el asegurado adicional es la DINAMIGE, estableciendo el nombre de la Dirección y su RUT, </w:t>
      </w:r>
      <w:r w:rsidRPr="006A4554">
        <w:rPr>
          <w:rFonts w:ascii="Arial Narrow" w:hAnsi="Arial Narrow"/>
          <w:b/>
          <w:sz w:val="24"/>
          <w:szCs w:val="24"/>
        </w:rPr>
        <w:t xml:space="preserve">o </w:t>
      </w:r>
      <w:r w:rsidRPr="006A4554">
        <w:rPr>
          <w:rFonts w:ascii="Arial Narrow" w:hAnsi="Arial Narrow"/>
          <w:sz w:val="24"/>
          <w:szCs w:val="24"/>
        </w:rPr>
        <w:t xml:space="preserve">una clausula in extenso con el nombre de la Dirección Nacional de </w:t>
      </w:r>
      <w:r w:rsidR="006A4554" w:rsidRPr="006A4554">
        <w:rPr>
          <w:rFonts w:ascii="Arial Narrow" w:hAnsi="Arial Narrow"/>
          <w:sz w:val="24"/>
          <w:szCs w:val="24"/>
        </w:rPr>
        <w:t>Minería</w:t>
      </w:r>
      <w:r w:rsidRPr="006A4554">
        <w:rPr>
          <w:rFonts w:ascii="Arial Narrow" w:hAnsi="Arial Narrow"/>
          <w:sz w:val="24"/>
          <w:szCs w:val="24"/>
        </w:rPr>
        <w:t xml:space="preserve"> y Geología, sin necesidad del Rut.</w:t>
      </w:r>
      <w:r w:rsidRPr="006A4554">
        <w:rPr>
          <w:rFonts w:ascii="Arial Narrow" w:hAnsi="Arial Narrow"/>
          <w:b/>
          <w:sz w:val="24"/>
          <w:szCs w:val="24"/>
        </w:rPr>
        <w:t xml:space="preserve"> (</w:t>
      </w:r>
      <w:r w:rsidR="00D94CB7">
        <w:rPr>
          <w:rFonts w:ascii="Arial Narrow" w:hAnsi="Arial Narrow"/>
          <w:b/>
          <w:sz w:val="24"/>
          <w:szCs w:val="24"/>
        </w:rPr>
        <w:t>Clausula aplicable</w:t>
      </w:r>
      <w:r w:rsidR="00326231">
        <w:rPr>
          <w:rFonts w:ascii="Arial Narrow" w:hAnsi="Arial Narrow"/>
          <w:b/>
          <w:sz w:val="24"/>
          <w:szCs w:val="24"/>
        </w:rPr>
        <w:t xml:space="preserve"> </w:t>
      </w:r>
      <w:r w:rsidRPr="006A4554">
        <w:rPr>
          <w:rFonts w:ascii="Arial Narrow" w:hAnsi="Arial Narrow"/>
          <w:b/>
          <w:sz w:val="24"/>
          <w:szCs w:val="24"/>
        </w:rPr>
        <w:t xml:space="preserve">RC 2145 </w:t>
      </w:r>
      <w:r w:rsidR="006A4554" w:rsidRPr="006A4554">
        <w:rPr>
          <w:rFonts w:ascii="Arial Narrow" w:hAnsi="Arial Narrow"/>
          <w:b/>
          <w:sz w:val="24"/>
          <w:szCs w:val="24"/>
        </w:rPr>
        <w:t xml:space="preserve">para </w:t>
      </w:r>
      <w:r w:rsidR="00811566">
        <w:rPr>
          <w:rFonts w:ascii="Arial Narrow" w:hAnsi="Arial Narrow"/>
          <w:b/>
          <w:sz w:val="24"/>
          <w:szCs w:val="24"/>
        </w:rPr>
        <w:t xml:space="preserve">Pólizas contratadas en el </w:t>
      </w:r>
      <w:r w:rsidRPr="006A4554">
        <w:rPr>
          <w:rFonts w:ascii="Arial Narrow" w:hAnsi="Arial Narrow"/>
          <w:b/>
          <w:sz w:val="24"/>
          <w:szCs w:val="24"/>
        </w:rPr>
        <w:t>BSE)</w:t>
      </w:r>
    </w:p>
    <w:p w:rsidR="00CD2EB6" w:rsidRPr="00811566" w:rsidRDefault="006A4554" w:rsidP="0092275D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A4554">
        <w:rPr>
          <w:rFonts w:ascii="Arial Narrow" w:hAnsi="Arial Narrow"/>
          <w:sz w:val="24"/>
          <w:szCs w:val="24"/>
        </w:rPr>
        <w:t xml:space="preserve">En caso de tratarse de una Concesión para Explotar y Experiencias Preparatorias de Explotación (Art. 97 del Código de Minería)  para Yacimientos de clase III, no podrán </w:t>
      </w:r>
      <w:r w:rsidRPr="00811566">
        <w:rPr>
          <w:rFonts w:ascii="Arial Narrow" w:hAnsi="Arial Narrow"/>
          <w:sz w:val="24"/>
          <w:szCs w:val="24"/>
        </w:rPr>
        <w:t xml:space="preserve">establecerse cláusulas que </w:t>
      </w:r>
      <w:r w:rsidR="00B666A7" w:rsidRPr="00811566">
        <w:rPr>
          <w:rFonts w:ascii="Arial Narrow" w:hAnsi="Arial Narrow"/>
          <w:sz w:val="24"/>
          <w:szCs w:val="24"/>
        </w:rPr>
        <w:t>excluyan</w:t>
      </w:r>
      <w:r w:rsidRPr="00811566">
        <w:rPr>
          <w:rFonts w:ascii="Arial Narrow" w:hAnsi="Arial Narrow"/>
          <w:sz w:val="24"/>
          <w:szCs w:val="24"/>
        </w:rPr>
        <w:t xml:space="preserve"> los posibles daños ocasionados por el uso de</w:t>
      </w:r>
      <w:r w:rsidRPr="006A4554">
        <w:rPr>
          <w:rFonts w:ascii="Arial Narrow" w:hAnsi="Arial Narrow"/>
          <w:sz w:val="24"/>
          <w:szCs w:val="24"/>
        </w:rPr>
        <w:t xml:space="preserve"> explosivos, y en caso de haberlas se deberá dejar expresa constancia que no son aplicables </w:t>
      </w:r>
      <w:r w:rsidRPr="00811566">
        <w:rPr>
          <w:rFonts w:ascii="Arial Narrow" w:hAnsi="Arial Narrow"/>
          <w:sz w:val="24"/>
          <w:szCs w:val="24"/>
        </w:rPr>
        <w:t xml:space="preserve">en la póliza contratada. </w:t>
      </w:r>
      <w:r w:rsidRPr="00811566">
        <w:rPr>
          <w:rFonts w:ascii="Arial Narrow" w:hAnsi="Arial Narrow"/>
          <w:b/>
          <w:sz w:val="24"/>
          <w:szCs w:val="24"/>
        </w:rPr>
        <w:t>(</w:t>
      </w:r>
      <w:r w:rsidR="00D94CB7">
        <w:rPr>
          <w:rFonts w:ascii="Arial Narrow" w:hAnsi="Arial Narrow"/>
          <w:b/>
          <w:sz w:val="24"/>
          <w:szCs w:val="24"/>
        </w:rPr>
        <w:t xml:space="preserve">Clausula aplicable </w:t>
      </w:r>
      <w:r w:rsidRPr="00811566">
        <w:rPr>
          <w:rFonts w:ascii="Arial Narrow" w:hAnsi="Arial Narrow"/>
          <w:b/>
          <w:sz w:val="24"/>
          <w:szCs w:val="24"/>
        </w:rPr>
        <w:t xml:space="preserve">RC 2140 </w:t>
      </w:r>
      <w:r w:rsidR="00811566" w:rsidRPr="006A4554">
        <w:rPr>
          <w:rFonts w:ascii="Arial Narrow" w:hAnsi="Arial Narrow"/>
          <w:b/>
          <w:sz w:val="24"/>
          <w:szCs w:val="24"/>
        </w:rPr>
        <w:t xml:space="preserve">para  </w:t>
      </w:r>
      <w:r w:rsidR="00811566">
        <w:rPr>
          <w:rFonts w:ascii="Arial Narrow" w:hAnsi="Arial Narrow"/>
          <w:b/>
          <w:sz w:val="24"/>
          <w:szCs w:val="24"/>
        </w:rPr>
        <w:t xml:space="preserve">Pólizas contratadas en </w:t>
      </w:r>
      <w:r w:rsidRPr="00811566">
        <w:rPr>
          <w:rFonts w:ascii="Arial Narrow" w:hAnsi="Arial Narrow"/>
          <w:b/>
          <w:sz w:val="24"/>
          <w:szCs w:val="24"/>
        </w:rPr>
        <w:t>el BSE)</w:t>
      </w:r>
    </w:p>
    <w:p w:rsidR="00811566" w:rsidRPr="00811566" w:rsidRDefault="00811566" w:rsidP="00811566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11566">
        <w:rPr>
          <w:rFonts w:ascii="Arial Narrow" w:hAnsi="Arial Narrow"/>
          <w:sz w:val="24"/>
          <w:szCs w:val="24"/>
        </w:rPr>
        <w:t>El producto contratado con la aseguradora debe adecuarse a la normativa de DINAMIGE, por lo tanto  deberá cubrir los daños y perjuicios que se deriven de la actividad minera.</w:t>
      </w:r>
    </w:p>
    <w:p w:rsidR="00811566" w:rsidRPr="00811566" w:rsidRDefault="00811566" w:rsidP="00811566">
      <w:pPr>
        <w:pStyle w:val="Prrafodelista"/>
        <w:rPr>
          <w:rFonts w:ascii="Arial Narrow" w:hAnsi="Arial Narrow"/>
          <w:sz w:val="24"/>
          <w:szCs w:val="24"/>
          <w:highlight w:val="yellow"/>
        </w:rPr>
      </w:pPr>
      <w:r>
        <w:rPr>
          <w:rFonts w:ascii="Arial Narrow" w:hAnsi="Arial Narrow"/>
          <w:sz w:val="24"/>
          <w:szCs w:val="24"/>
        </w:rPr>
        <w:t>A vía de ejemplo, el producto adecuado en el BSE, es el de RC Operaciones.</w:t>
      </w:r>
    </w:p>
    <w:p w:rsidR="00B666A7" w:rsidRPr="006A4554" w:rsidRDefault="00B666A7" w:rsidP="00B666A7">
      <w:pPr>
        <w:pStyle w:val="Prrafodelista"/>
        <w:rPr>
          <w:rFonts w:ascii="Arial Narrow" w:hAnsi="Arial Narrow"/>
          <w:sz w:val="24"/>
          <w:szCs w:val="24"/>
        </w:rPr>
      </w:pPr>
    </w:p>
    <w:p w:rsidR="006A4554" w:rsidRPr="00B666A7" w:rsidRDefault="006A4554" w:rsidP="00B666A7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B666A7">
        <w:rPr>
          <w:rFonts w:ascii="Arial Narrow" w:hAnsi="Arial Narrow"/>
          <w:sz w:val="24"/>
          <w:szCs w:val="24"/>
        </w:rPr>
        <w:t>La Póliza deberá ser presentada con todas sus cláusulas, y acompañada de una Nota.</w:t>
      </w:r>
    </w:p>
    <w:p w:rsidR="00B666A7" w:rsidRDefault="00B666A7" w:rsidP="006A4554">
      <w:pPr>
        <w:ind w:left="360"/>
        <w:rPr>
          <w:rFonts w:ascii="Arial Narrow" w:hAnsi="Arial Narrow"/>
          <w:sz w:val="24"/>
          <w:szCs w:val="24"/>
        </w:rPr>
      </w:pPr>
    </w:p>
    <w:p w:rsidR="006A4554" w:rsidRPr="00811566" w:rsidRDefault="006A4554" w:rsidP="00BC0FED">
      <w:pPr>
        <w:pStyle w:val="Prrafodelista"/>
        <w:rPr>
          <w:rFonts w:ascii="Arial Narrow" w:hAnsi="Arial Narrow"/>
          <w:sz w:val="24"/>
          <w:szCs w:val="24"/>
          <w:highlight w:val="yellow"/>
        </w:rPr>
      </w:pPr>
      <w:r w:rsidRPr="00811566">
        <w:rPr>
          <w:rFonts w:ascii="Arial Narrow" w:hAnsi="Arial Narrow"/>
          <w:sz w:val="24"/>
          <w:szCs w:val="24"/>
          <w:highlight w:val="yellow"/>
        </w:rPr>
        <w:t xml:space="preserve"> </w:t>
      </w:r>
    </w:p>
    <w:sectPr w:rsidR="006A4554" w:rsidRPr="008115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70" w:rsidRDefault="00000870" w:rsidP="00B666A7">
      <w:pPr>
        <w:spacing w:after="0" w:line="240" w:lineRule="auto"/>
      </w:pPr>
      <w:r>
        <w:separator/>
      </w:r>
    </w:p>
  </w:endnote>
  <w:endnote w:type="continuationSeparator" w:id="0">
    <w:p w:rsidR="00000870" w:rsidRDefault="00000870" w:rsidP="00B6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70" w:rsidRDefault="00000870" w:rsidP="00B666A7">
      <w:pPr>
        <w:spacing w:after="0" w:line="240" w:lineRule="auto"/>
      </w:pPr>
      <w:r>
        <w:separator/>
      </w:r>
    </w:p>
  </w:footnote>
  <w:footnote w:type="continuationSeparator" w:id="0">
    <w:p w:rsidR="00000870" w:rsidRDefault="00000870" w:rsidP="00B6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045"/>
    <w:multiLevelType w:val="hybridMultilevel"/>
    <w:tmpl w:val="089E19BA"/>
    <w:lvl w:ilvl="0" w:tplc="248C9C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47874"/>
    <w:multiLevelType w:val="hybridMultilevel"/>
    <w:tmpl w:val="189C5C9E"/>
    <w:lvl w:ilvl="0" w:tplc="5C3E1C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5D"/>
    <w:rsid w:val="00000870"/>
    <w:rsid w:val="00270CA5"/>
    <w:rsid w:val="00326231"/>
    <w:rsid w:val="003E077B"/>
    <w:rsid w:val="00654F37"/>
    <w:rsid w:val="00675C3C"/>
    <w:rsid w:val="006A4554"/>
    <w:rsid w:val="00811566"/>
    <w:rsid w:val="00820CF7"/>
    <w:rsid w:val="0092275D"/>
    <w:rsid w:val="00B008B6"/>
    <w:rsid w:val="00B666A7"/>
    <w:rsid w:val="00BC0FED"/>
    <w:rsid w:val="00D94CB7"/>
    <w:rsid w:val="00F3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27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6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6A7"/>
  </w:style>
  <w:style w:type="paragraph" w:styleId="Piedepgina">
    <w:name w:val="footer"/>
    <w:basedOn w:val="Normal"/>
    <w:link w:val="PiedepginaCar"/>
    <w:uiPriority w:val="99"/>
    <w:unhideWhenUsed/>
    <w:rsid w:val="00B66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6A7"/>
  </w:style>
  <w:style w:type="paragraph" w:styleId="Textodeglobo">
    <w:name w:val="Balloon Text"/>
    <w:basedOn w:val="Normal"/>
    <w:link w:val="TextodegloboCar"/>
    <w:uiPriority w:val="99"/>
    <w:semiHidden/>
    <w:unhideWhenUsed/>
    <w:rsid w:val="00B6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27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6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6A7"/>
  </w:style>
  <w:style w:type="paragraph" w:styleId="Piedepgina">
    <w:name w:val="footer"/>
    <w:basedOn w:val="Normal"/>
    <w:link w:val="PiedepginaCar"/>
    <w:uiPriority w:val="99"/>
    <w:unhideWhenUsed/>
    <w:rsid w:val="00B66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6A7"/>
  </w:style>
  <w:style w:type="paragraph" w:styleId="Textodeglobo">
    <w:name w:val="Balloon Text"/>
    <w:basedOn w:val="Normal"/>
    <w:link w:val="TextodegloboCar"/>
    <w:uiPriority w:val="99"/>
    <w:semiHidden/>
    <w:unhideWhenUsed/>
    <w:rsid w:val="00B6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 González</dc:creator>
  <cp:lastModifiedBy>María Florencia Vilariño</cp:lastModifiedBy>
  <cp:revision>2</cp:revision>
  <dcterms:created xsi:type="dcterms:W3CDTF">2023-03-23T23:28:00Z</dcterms:created>
  <dcterms:modified xsi:type="dcterms:W3CDTF">2023-03-23T23:28:00Z</dcterms:modified>
</cp:coreProperties>
</file>