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F4" w:rsidRDefault="00B941F4">
      <w:pPr>
        <w:ind w:left="160"/>
        <w:jc w:val="center"/>
        <w:rPr>
          <w:b/>
          <w:color w:val="000000"/>
          <w:sz w:val="24"/>
          <w:szCs w:val="24"/>
          <w:lang w:val="es-PY"/>
        </w:rPr>
      </w:pPr>
      <w:bookmarkStart w:id="0" w:name="_GoBack"/>
      <w:bookmarkEnd w:id="0"/>
    </w:p>
    <w:p w:rsidR="00B941F4" w:rsidRDefault="0061642A">
      <w:pPr>
        <w:ind w:left="160"/>
        <w:rPr>
          <w:b/>
          <w:color w:val="000000"/>
          <w:sz w:val="24"/>
          <w:szCs w:val="24"/>
          <w:lang w:val="es-AR"/>
        </w:rPr>
      </w:pPr>
      <w:r w:rsidRPr="0061642A">
        <w:rPr>
          <w:b/>
          <w:color w:val="000000"/>
          <w:sz w:val="24"/>
          <w:szCs w:val="24"/>
          <w:lang w:val="pt-BR"/>
        </w:rPr>
        <w:t xml:space="preserve">MERCOSUR/… SGT N° 3/P. RES. </w:t>
      </w:r>
      <w:proofErr w:type="spellStart"/>
      <w:r>
        <w:rPr>
          <w:b/>
          <w:color w:val="000000"/>
          <w:sz w:val="24"/>
          <w:szCs w:val="24"/>
        </w:rPr>
        <w:t>N°</w:t>
      </w:r>
      <w:proofErr w:type="spellEnd"/>
      <w:r>
        <w:rPr>
          <w:b/>
          <w:color w:val="000000"/>
          <w:sz w:val="24"/>
          <w:szCs w:val="24"/>
        </w:rPr>
        <w:t xml:space="preserve"> 02/22</w:t>
      </w:r>
    </w:p>
    <w:p w:rsidR="00B941F4" w:rsidRDefault="00B941F4">
      <w:pPr>
        <w:spacing w:before="3"/>
        <w:jc w:val="center"/>
        <w:rPr>
          <w:color w:val="000000"/>
          <w:sz w:val="24"/>
          <w:szCs w:val="24"/>
        </w:rPr>
      </w:pPr>
    </w:p>
    <w:p w:rsidR="00B941F4" w:rsidRDefault="00B941F4">
      <w:pPr>
        <w:spacing w:before="3"/>
        <w:jc w:val="center"/>
        <w:rPr>
          <w:b/>
          <w:color w:val="000000"/>
          <w:sz w:val="24"/>
          <w:szCs w:val="24"/>
        </w:rPr>
      </w:pPr>
    </w:p>
    <w:p w:rsidR="00B941F4" w:rsidRDefault="0061642A">
      <w:pPr>
        <w:spacing w:before="1"/>
        <w:ind w:left="469" w:right="463" w:firstLin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MODIFICACI</w:t>
      </w:r>
      <w:r>
        <w:rPr>
          <w:b/>
          <w:sz w:val="24"/>
          <w:szCs w:val="24"/>
          <w:lang w:val="es-AR"/>
        </w:rPr>
        <w:t xml:space="preserve">ÓN DE LA RESOLUCIÓN GMC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46/06</w:t>
      </w:r>
    </w:p>
    <w:p w:rsidR="00B941F4" w:rsidRDefault="0061642A">
      <w:pPr>
        <w:spacing w:before="1"/>
        <w:ind w:left="469" w:right="463" w:firstLine="1"/>
        <w:jc w:val="center"/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>“</w:t>
      </w:r>
      <w:r>
        <w:rPr>
          <w:b/>
          <w:sz w:val="24"/>
          <w:szCs w:val="24"/>
        </w:rPr>
        <w:t>REGLAMENTO TÉCNICO MERCOSUR SOBRE DISPOSICIONES PARA ENVASES, REVESTIMIENTOS, UTENSILIOS, TAPAS Y EQUIPAMIENTOS METÁLICOS EN CONTACTO CON ALIMENTOS</w:t>
      </w:r>
      <w:r>
        <w:rPr>
          <w:b/>
          <w:sz w:val="24"/>
          <w:szCs w:val="24"/>
          <w:lang w:val="es-AR"/>
        </w:rPr>
        <w:t>”</w:t>
      </w:r>
    </w:p>
    <w:p w:rsidR="00B941F4" w:rsidRDefault="00B941F4">
      <w:pPr>
        <w:spacing w:before="6"/>
        <w:jc w:val="center"/>
        <w:rPr>
          <w:b/>
          <w:color w:val="000000"/>
          <w:sz w:val="24"/>
          <w:szCs w:val="24"/>
        </w:rPr>
      </w:pPr>
    </w:p>
    <w:p w:rsidR="00B941F4" w:rsidRDefault="0061642A">
      <w:pPr>
        <w:ind w:left="160" w:right="172"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VISTO</w:t>
      </w:r>
      <w:r>
        <w:rPr>
          <w:color w:val="000000"/>
          <w:sz w:val="24"/>
          <w:szCs w:val="24"/>
        </w:rPr>
        <w:t xml:space="preserve">: El Tratado de Asunción, el Protocolo de Ouro </w:t>
      </w:r>
      <w:proofErr w:type="spellStart"/>
      <w:r>
        <w:rPr>
          <w:color w:val="000000"/>
          <w:sz w:val="24"/>
          <w:szCs w:val="24"/>
        </w:rPr>
        <w:t>Preto</w:t>
      </w:r>
      <w:proofErr w:type="spellEnd"/>
      <w:r>
        <w:rPr>
          <w:color w:val="000000"/>
          <w:sz w:val="24"/>
          <w:szCs w:val="24"/>
        </w:rPr>
        <w:t xml:space="preserve">, y las Resoluciones </w:t>
      </w:r>
      <w:proofErr w:type="spellStart"/>
      <w:r>
        <w:rPr>
          <w:color w:val="000000"/>
          <w:sz w:val="24"/>
          <w:szCs w:val="24"/>
        </w:rPr>
        <w:t>Nº</w:t>
      </w:r>
      <w:proofErr w:type="spellEnd"/>
      <w:r>
        <w:rPr>
          <w:color w:val="000000"/>
          <w:sz w:val="24"/>
          <w:szCs w:val="24"/>
        </w:rPr>
        <w:t xml:space="preserve"> 03/92, 38/98, 46/06, 45/17 y 16/20 del Grupo Mercado Común.</w:t>
      </w:r>
    </w:p>
    <w:p w:rsidR="00B941F4" w:rsidRDefault="00B941F4">
      <w:pPr>
        <w:spacing w:before="7"/>
        <w:jc w:val="both"/>
        <w:rPr>
          <w:color w:val="000000"/>
          <w:sz w:val="24"/>
          <w:szCs w:val="24"/>
        </w:rPr>
      </w:pPr>
    </w:p>
    <w:p w:rsidR="00B941F4" w:rsidRDefault="0061642A">
      <w:pPr>
        <w:pStyle w:val="Ttulo1"/>
        <w:ind w:firstLine="160"/>
        <w:jc w:val="both"/>
      </w:pPr>
      <w:r>
        <w:t>CONSIDERANDO:</w:t>
      </w:r>
    </w:p>
    <w:p w:rsidR="00B941F4" w:rsidRDefault="00B941F4">
      <w:pPr>
        <w:jc w:val="both"/>
        <w:rPr>
          <w:b/>
          <w:color w:val="000000"/>
          <w:sz w:val="24"/>
          <w:szCs w:val="24"/>
        </w:rPr>
      </w:pPr>
    </w:p>
    <w:p w:rsidR="00B941F4" w:rsidRDefault="0061642A">
      <w:pPr>
        <w:ind w:left="160" w:right="1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 la Resolución GMC </w:t>
      </w:r>
      <w:proofErr w:type="spellStart"/>
      <w:r>
        <w:rPr>
          <w:color w:val="000000"/>
          <w:sz w:val="24"/>
          <w:szCs w:val="24"/>
        </w:rPr>
        <w:t>Nº</w:t>
      </w:r>
      <w:proofErr w:type="spellEnd"/>
      <w:r>
        <w:rPr>
          <w:color w:val="000000"/>
          <w:sz w:val="24"/>
          <w:szCs w:val="24"/>
        </w:rPr>
        <w:t xml:space="preserve"> 03/92 sobre "Criterios Generales de Envases y Equipamientos Alimentarios en Contacto con Alimentos" establece que los envases y equipamientos en contacto con alimentos deben cumplir requisitos específicos.</w:t>
      </w:r>
    </w:p>
    <w:p w:rsidR="00B941F4" w:rsidRDefault="00B941F4">
      <w:pPr>
        <w:spacing w:before="7"/>
        <w:jc w:val="both"/>
        <w:rPr>
          <w:color w:val="000000"/>
          <w:sz w:val="24"/>
          <w:szCs w:val="24"/>
        </w:rPr>
      </w:pPr>
    </w:p>
    <w:p w:rsidR="00B941F4" w:rsidRDefault="0061642A">
      <w:pPr>
        <w:ind w:left="160" w:right="1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 se considera conveniente </w:t>
      </w:r>
      <w:r>
        <w:rPr>
          <w:sz w:val="24"/>
          <w:szCs w:val="24"/>
        </w:rPr>
        <w:t xml:space="preserve">actualizar la </w:t>
      </w:r>
      <w:proofErr w:type="spellStart"/>
      <w:r>
        <w:rPr>
          <w:sz w:val="24"/>
          <w:szCs w:val="24"/>
        </w:rPr>
        <w:t>Resoluci</w:t>
      </w:r>
      <w:r>
        <w:rPr>
          <w:sz w:val="24"/>
          <w:szCs w:val="24"/>
          <w:lang w:val="es-AR"/>
        </w:rPr>
        <w:t>ón</w:t>
      </w:r>
      <w:proofErr w:type="spellEnd"/>
      <w:r>
        <w:rPr>
          <w:sz w:val="24"/>
          <w:szCs w:val="24"/>
        </w:rPr>
        <w:t xml:space="preserve"> GMC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46/06 "Reglamento Técnico MERCOSUR sobre Disposiciones para Envases, Revestimientos Utensilios, Tapas y Equipamientos Metálicos en Contacto con Alimentos (Derogación de las Resoluciones GMC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27/93, 48/93 y 30/99)".</w:t>
      </w:r>
    </w:p>
    <w:p w:rsidR="00B941F4" w:rsidRDefault="00B941F4">
      <w:pPr>
        <w:ind w:left="160" w:right="168"/>
        <w:jc w:val="both"/>
        <w:rPr>
          <w:color w:val="000000"/>
          <w:sz w:val="24"/>
          <w:szCs w:val="24"/>
        </w:rPr>
      </w:pPr>
    </w:p>
    <w:p w:rsidR="00B941F4" w:rsidRDefault="00B941F4">
      <w:pPr>
        <w:ind w:left="160" w:right="168"/>
        <w:jc w:val="both"/>
        <w:rPr>
          <w:color w:val="000000"/>
          <w:sz w:val="24"/>
          <w:szCs w:val="24"/>
        </w:rPr>
      </w:pPr>
    </w:p>
    <w:p w:rsidR="00B941F4" w:rsidRDefault="0061642A">
      <w:pPr>
        <w:pStyle w:val="Ttulo1"/>
        <w:spacing w:before="1" w:line="247" w:lineRule="auto"/>
        <w:ind w:left="3861" w:right="2826" w:hanging="1081"/>
        <w:jc w:val="both"/>
      </w:pPr>
      <w:r>
        <w:t>EL GRUPO MERCADO COMÚN RESUELVE:</w:t>
      </w:r>
    </w:p>
    <w:p w:rsidR="00B941F4" w:rsidRDefault="00B941F4">
      <w:pPr>
        <w:spacing w:before="1"/>
        <w:jc w:val="both"/>
        <w:rPr>
          <w:b/>
          <w:color w:val="000000"/>
          <w:sz w:val="24"/>
          <w:szCs w:val="24"/>
        </w:rPr>
      </w:pPr>
    </w:p>
    <w:p w:rsidR="00B941F4" w:rsidRDefault="0061642A">
      <w:pPr>
        <w:spacing w:before="1"/>
        <w:ind w:left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1- Aprobar las modificaciones al "Reglamento Técnico MERCOSUR sobre Disposiciones para Envases, Revestimientos, Utensilios, Tapas y Equipamientos Metálicos en Contacto con Alimentos", aprobado </w:t>
      </w:r>
      <w:r>
        <w:rPr>
          <w:sz w:val="24"/>
          <w:szCs w:val="24"/>
        </w:rPr>
        <w:t xml:space="preserve">por la Resolución GMC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46/06</w:t>
      </w:r>
      <w:r>
        <w:rPr>
          <w:color w:val="000000"/>
          <w:sz w:val="24"/>
          <w:szCs w:val="24"/>
        </w:rPr>
        <w:t>, que consta como Anexo y forma parte de la presente Resolución.</w:t>
      </w:r>
    </w:p>
    <w:p w:rsidR="00B941F4" w:rsidRDefault="00B941F4">
      <w:pPr>
        <w:spacing w:before="1"/>
        <w:ind w:left="160"/>
        <w:jc w:val="both"/>
        <w:rPr>
          <w:color w:val="000000"/>
          <w:sz w:val="24"/>
          <w:szCs w:val="24"/>
        </w:rPr>
      </w:pPr>
    </w:p>
    <w:p w:rsidR="00B941F4" w:rsidRDefault="0061642A">
      <w:pPr>
        <w:spacing w:before="1"/>
        <w:ind w:left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2 - </w:t>
      </w:r>
      <w:r>
        <w:rPr>
          <w:sz w:val="24"/>
          <w:szCs w:val="24"/>
        </w:rPr>
        <w:t>Establecer un plazo de 180 días para la adecuación a los requisitos establecidos en la presente Resolución, contados a partir de su incorporación.</w:t>
      </w:r>
    </w:p>
    <w:p w:rsidR="00B941F4" w:rsidRDefault="00B941F4">
      <w:pPr>
        <w:spacing w:before="1"/>
        <w:ind w:left="160"/>
        <w:jc w:val="both"/>
        <w:rPr>
          <w:color w:val="000000"/>
          <w:sz w:val="24"/>
          <w:szCs w:val="24"/>
        </w:rPr>
      </w:pPr>
    </w:p>
    <w:p w:rsidR="00B941F4" w:rsidRDefault="0061642A">
      <w:pPr>
        <w:spacing w:before="1"/>
        <w:ind w:left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3 - Los Estados Parte indicarán en el ámbito del Subgrupo de Trabajo </w:t>
      </w:r>
      <w:proofErr w:type="spellStart"/>
      <w:r>
        <w:rPr>
          <w:color w:val="000000"/>
          <w:sz w:val="24"/>
          <w:szCs w:val="24"/>
        </w:rPr>
        <w:t>Nº</w:t>
      </w:r>
      <w:proofErr w:type="spellEnd"/>
      <w:r>
        <w:rPr>
          <w:color w:val="000000"/>
          <w:sz w:val="24"/>
          <w:szCs w:val="24"/>
        </w:rPr>
        <w:t xml:space="preserve"> 3 "Reglamentos Técnicos y Evaluación de la Conformidad" (SGT </w:t>
      </w:r>
      <w:proofErr w:type="spellStart"/>
      <w:r>
        <w:rPr>
          <w:color w:val="000000"/>
          <w:sz w:val="24"/>
          <w:szCs w:val="24"/>
        </w:rPr>
        <w:t>Nº</w:t>
      </w:r>
      <w:proofErr w:type="spellEnd"/>
      <w:r>
        <w:rPr>
          <w:color w:val="000000"/>
          <w:sz w:val="24"/>
          <w:szCs w:val="24"/>
        </w:rPr>
        <w:t xml:space="preserve"> 3) los organismos nacionales competentes para la implementación de la presente Resolución.</w:t>
      </w:r>
    </w:p>
    <w:p w:rsidR="00B941F4" w:rsidRDefault="00B941F4">
      <w:pPr>
        <w:spacing w:before="1"/>
        <w:ind w:left="160"/>
        <w:jc w:val="both"/>
        <w:rPr>
          <w:color w:val="000000"/>
          <w:sz w:val="24"/>
          <w:szCs w:val="24"/>
        </w:rPr>
      </w:pPr>
    </w:p>
    <w:p w:rsidR="00B941F4" w:rsidRDefault="0061642A">
      <w:pPr>
        <w:spacing w:before="1"/>
        <w:ind w:left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4 - Esta Resolución deberá ser incorporada al ordenamiento jurídico de los </w:t>
      </w:r>
      <w:proofErr w:type="gramStart"/>
      <w:r>
        <w:rPr>
          <w:color w:val="000000"/>
          <w:sz w:val="24"/>
          <w:szCs w:val="24"/>
        </w:rPr>
        <w:t>Estados Partes</w:t>
      </w:r>
      <w:proofErr w:type="gramEnd"/>
      <w:r>
        <w:rPr>
          <w:color w:val="000000"/>
          <w:sz w:val="24"/>
          <w:szCs w:val="24"/>
        </w:rPr>
        <w:t xml:space="preserve"> antes del …</w:t>
      </w:r>
    </w:p>
    <w:p w:rsidR="00B941F4" w:rsidRDefault="00B941F4">
      <w:pPr>
        <w:jc w:val="both"/>
        <w:rPr>
          <w:color w:val="000000"/>
          <w:sz w:val="24"/>
          <w:szCs w:val="24"/>
        </w:rPr>
      </w:pPr>
    </w:p>
    <w:p w:rsidR="00B941F4" w:rsidRDefault="00B941F4">
      <w:pPr>
        <w:jc w:val="both"/>
        <w:rPr>
          <w:color w:val="000000"/>
          <w:sz w:val="24"/>
          <w:szCs w:val="24"/>
        </w:rPr>
      </w:pPr>
    </w:p>
    <w:p w:rsidR="00B941F4" w:rsidRDefault="0061642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 SGT </w:t>
      </w:r>
      <w:proofErr w:type="spellStart"/>
      <w:r>
        <w:rPr>
          <w:b/>
          <w:sz w:val="24"/>
          <w:szCs w:val="24"/>
        </w:rPr>
        <w:t>Nº</w:t>
      </w:r>
      <w:proofErr w:type="spellEnd"/>
      <w:r>
        <w:rPr>
          <w:b/>
          <w:sz w:val="24"/>
          <w:szCs w:val="24"/>
        </w:rPr>
        <w:t xml:space="preserve"> 3 - ..., XX / XX / 22</w:t>
      </w:r>
    </w:p>
    <w:p w:rsidR="00B941F4" w:rsidRDefault="00B941F4">
      <w:pPr>
        <w:jc w:val="center"/>
        <w:rPr>
          <w:color w:val="000000"/>
          <w:sz w:val="24"/>
          <w:szCs w:val="24"/>
        </w:rPr>
      </w:pPr>
    </w:p>
    <w:p w:rsidR="00B941F4" w:rsidRDefault="00B941F4">
      <w:pPr>
        <w:jc w:val="center"/>
        <w:rPr>
          <w:color w:val="000000"/>
          <w:sz w:val="24"/>
          <w:szCs w:val="24"/>
        </w:rPr>
      </w:pPr>
    </w:p>
    <w:p w:rsidR="00B941F4" w:rsidRDefault="00B941F4">
      <w:pPr>
        <w:jc w:val="center"/>
        <w:rPr>
          <w:color w:val="000000"/>
          <w:sz w:val="24"/>
          <w:szCs w:val="24"/>
        </w:rPr>
      </w:pPr>
    </w:p>
    <w:p w:rsidR="00B941F4" w:rsidRDefault="00B941F4" w:rsidP="0061642A">
      <w:pPr>
        <w:rPr>
          <w:color w:val="000000"/>
          <w:sz w:val="24"/>
          <w:szCs w:val="24"/>
        </w:rPr>
      </w:pPr>
    </w:p>
    <w:p w:rsidR="00B941F4" w:rsidRDefault="00B941F4">
      <w:pPr>
        <w:jc w:val="center"/>
        <w:rPr>
          <w:color w:val="000000"/>
          <w:sz w:val="24"/>
          <w:szCs w:val="24"/>
        </w:rPr>
      </w:pPr>
    </w:p>
    <w:p w:rsidR="00B941F4" w:rsidRDefault="0061642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</w:t>
      </w:r>
    </w:p>
    <w:p w:rsidR="00B941F4" w:rsidRDefault="00B941F4">
      <w:pPr>
        <w:widowControl/>
        <w:jc w:val="center"/>
        <w:rPr>
          <w:b/>
          <w:sz w:val="24"/>
          <w:szCs w:val="24"/>
        </w:rPr>
      </w:pPr>
    </w:p>
    <w:p w:rsidR="00B941F4" w:rsidRDefault="0061642A">
      <w:pPr>
        <w:widowControl/>
        <w:jc w:val="center"/>
        <w:rPr>
          <w:b/>
          <w:sz w:val="24"/>
          <w:szCs w:val="24"/>
          <w:lang w:val="es-AR"/>
        </w:rPr>
      </w:pPr>
      <w:r>
        <w:rPr>
          <w:b/>
          <w:sz w:val="24"/>
          <w:szCs w:val="24"/>
        </w:rPr>
        <w:t xml:space="preserve">MODIFICACIÓN DE LA RESOLUCIÓN GMC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46</w:t>
      </w:r>
      <w:r>
        <w:rPr>
          <w:b/>
          <w:sz w:val="24"/>
          <w:szCs w:val="24"/>
          <w:lang w:val="es-AR"/>
        </w:rPr>
        <w:t>/06</w:t>
      </w:r>
    </w:p>
    <w:p w:rsidR="00B941F4" w:rsidRDefault="0061642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s-AR"/>
        </w:rPr>
        <w:t>“</w:t>
      </w:r>
      <w:r>
        <w:rPr>
          <w:b/>
          <w:sz w:val="24"/>
          <w:szCs w:val="24"/>
        </w:rPr>
        <w:t>REGLAMENTO TÉCNICO MERCOSUR SOBRE DISPOSICIONES PARA ENVASES, REVESTIMIENTOS, UTENSILIOS, TAPAS Y EQUIPAMIENTOS METÁLICOS EN CONTACTO CON ALIMENTOS”</w:t>
      </w:r>
    </w:p>
    <w:p w:rsidR="00B941F4" w:rsidRDefault="00B941F4">
      <w:pPr>
        <w:widowControl/>
        <w:jc w:val="both"/>
        <w:rPr>
          <w:b/>
          <w:sz w:val="24"/>
          <w:szCs w:val="24"/>
        </w:rPr>
      </w:pPr>
    </w:p>
    <w:p w:rsidR="00B941F4" w:rsidRDefault="00B941F4">
      <w:pPr>
        <w:widowControl/>
        <w:jc w:val="both"/>
        <w:rPr>
          <w:sz w:val="24"/>
          <w:szCs w:val="24"/>
          <w:lang w:val="es-AR"/>
        </w:rPr>
      </w:pPr>
    </w:p>
    <w:p w:rsidR="00B941F4" w:rsidRDefault="0061642A" w:rsidP="0061642A">
      <w:pPr>
        <w:pStyle w:val="Ttulo1"/>
        <w:tabs>
          <w:tab w:val="left" w:pos="429"/>
        </w:tabs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El “Reglamento Técnico MERCOSUR sobre disposiciones para envases, revestimientos, utensilios, tapas y equipamientos metálicos en contacto con alimentos” aprobado por Resolución GMC </w:t>
      </w:r>
      <w:proofErr w:type="spellStart"/>
      <w:r>
        <w:rPr>
          <w:b w:val="0"/>
          <w:bCs w:val="0"/>
        </w:rPr>
        <w:t>Nº</w:t>
      </w:r>
      <w:proofErr w:type="spellEnd"/>
      <w:r>
        <w:rPr>
          <w:b w:val="0"/>
          <w:bCs w:val="0"/>
        </w:rPr>
        <w:t xml:space="preserve"> 46/06, se modifica conforme se indica a continuación:</w:t>
      </w:r>
    </w:p>
    <w:p w:rsidR="00B941F4" w:rsidRDefault="00B941F4">
      <w:pPr>
        <w:tabs>
          <w:tab w:val="left" w:pos="1602"/>
        </w:tabs>
        <w:jc w:val="both"/>
        <w:rPr>
          <w:sz w:val="24"/>
          <w:szCs w:val="24"/>
        </w:rPr>
      </w:pPr>
    </w:p>
    <w:p w:rsidR="00B941F4" w:rsidRDefault="0061642A">
      <w:pPr>
        <w:tabs>
          <w:tab w:val="left" w:pos="16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1 - Sustituir el ítem 3.1.1 del Anexo de la Res. GMC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46/06 por el siguiente:</w:t>
      </w:r>
    </w:p>
    <w:p w:rsidR="00B941F4" w:rsidRDefault="00B941F4">
      <w:pPr>
        <w:tabs>
          <w:tab w:val="left" w:pos="1602"/>
        </w:tabs>
        <w:jc w:val="both"/>
        <w:rPr>
          <w:sz w:val="24"/>
          <w:szCs w:val="24"/>
        </w:rPr>
      </w:pPr>
    </w:p>
    <w:p w:rsidR="00B941F4" w:rsidRDefault="0061642A">
      <w:pPr>
        <w:tabs>
          <w:tab w:val="left" w:pos="1602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“3.1.1 Aleaciones de acero inoxidable listadas a continuación:</w:t>
      </w:r>
    </w:p>
    <w:p w:rsidR="00B941F4" w:rsidRDefault="00B941F4">
      <w:pPr>
        <w:tabs>
          <w:tab w:val="left" w:pos="1602"/>
        </w:tabs>
        <w:jc w:val="both"/>
        <w:rPr>
          <w:i/>
          <w:sz w:val="24"/>
          <w:szCs w:val="24"/>
        </w:rPr>
      </w:pPr>
    </w:p>
    <w:tbl>
      <w:tblPr>
        <w:tblW w:w="9172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2370"/>
        <w:gridCol w:w="1699"/>
        <w:gridCol w:w="2268"/>
        <w:gridCol w:w="2835"/>
      </w:tblGrid>
      <w:tr w:rsidR="00B941F4">
        <w:trPr>
          <w:trHeight w:val="837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Pr="0061642A" w:rsidRDefault="0061642A">
            <w:pPr>
              <w:spacing w:before="2" w:line="276" w:lineRule="auto"/>
              <w:ind w:left="100" w:right="244"/>
              <w:jc w:val="center"/>
              <w:rPr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61642A">
              <w:rPr>
                <w:i/>
                <w:sz w:val="24"/>
                <w:szCs w:val="24"/>
                <w:lang w:val="en-US"/>
              </w:rPr>
              <w:t>AISI (American Iron and Steel Institute) / ASTM (</w:t>
            </w:r>
            <w:r w:rsidRPr="0061642A">
              <w:rPr>
                <w:i/>
                <w:sz w:val="24"/>
                <w:szCs w:val="24"/>
                <w:shd w:val="clear" w:color="auto" w:fill="FFFFFF"/>
                <w:lang w:val="en-US"/>
              </w:rPr>
              <w:t>American Society for Testing and Materials)</w:t>
            </w:r>
          </w:p>
          <w:p w:rsidR="00B941F4" w:rsidRDefault="0061642A">
            <w:pPr>
              <w:spacing w:before="2" w:line="276" w:lineRule="auto"/>
              <w:ind w:left="100" w:right="244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  <w:shd w:val="clear" w:color="auto" w:fill="FFFFFF"/>
              </w:rPr>
              <w:t>(en este caso se indica entre paréntesis)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line="271" w:lineRule="auto"/>
              <w:ind w:left="86" w:right="133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UNS</w:t>
            </w:r>
          </w:p>
          <w:p w:rsidR="00B941F4" w:rsidRDefault="0061642A">
            <w:pPr>
              <w:spacing w:line="271" w:lineRule="auto"/>
              <w:ind w:left="86" w:right="133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</w:t>
            </w:r>
            <w:proofErr w:type="spellStart"/>
            <w:r>
              <w:rPr>
                <w:bCs/>
                <w:i/>
                <w:sz w:val="24"/>
                <w:szCs w:val="24"/>
              </w:rPr>
              <w:t>Unified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</w:rPr>
              <w:t>Numbering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</w:rPr>
              <w:t>System</w:t>
            </w:r>
            <w:proofErr w:type="spellEnd"/>
            <w:r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2" w:line="276" w:lineRule="auto"/>
              <w:ind w:left="110" w:right="212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Normas EN </w:t>
            </w:r>
            <w:r>
              <w:rPr>
                <w:bCs/>
                <w:i/>
                <w:sz w:val="24"/>
                <w:szCs w:val="24"/>
              </w:rPr>
              <w:t>(Normas del Comité Europeo de Normalización (CEN))</w:t>
            </w:r>
          </w:p>
          <w:p w:rsidR="00B941F4" w:rsidRDefault="00B941F4">
            <w:pPr>
              <w:spacing w:before="2" w:line="276" w:lineRule="auto"/>
              <w:ind w:left="110" w:right="212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2" w:line="276" w:lineRule="auto"/>
              <w:ind w:left="110" w:right="212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Restricciones de uso</w:t>
            </w: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S20100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1.4372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S20200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1.4373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</w:tc>
      </w:tr>
      <w:tr w:rsidR="00B941F4">
        <w:trPr>
          <w:trHeight w:val="290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S30100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1.4310</w:t>
            </w:r>
          </w:p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1.4319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0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S30200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1.4325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S30300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1.4305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303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Se</w:t>
            </w:r>
            <w:proofErr w:type="gram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S30323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0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S30400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1.4301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304 L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S30403</w:t>
            </w:r>
          </w:p>
          <w:p w:rsidR="00B941F4" w:rsidRDefault="00B941F4">
            <w:pPr>
              <w:spacing w:before="4" w:line="264" w:lineRule="auto"/>
              <w:ind w:left="86" w:right="237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1.4307</w:t>
            </w:r>
          </w:p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1.4306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S30500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1.4303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S30800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S31600</w:t>
            </w:r>
          </w:p>
          <w:p w:rsidR="00B941F4" w:rsidRDefault="00B941F4">
            <w:pPr>
              <w:spacing w:before="4" w:line="264" w:lineRule="auto"/>
              <w:ind w:left="86" w:right="237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1.4401</w:t>
            </w:r>
          </w:p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1.4436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0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316 L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S31603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1.4404</w:t>
            </w:r>
          </w:p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1.4432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316 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S31651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jc w:val="both"/>
              <w:rPr>
                <w:i/>
                <w:iCs/>
                <w:color w:val="0000FF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</w:pPr>
            <w:r>
              <w:rPr>
                <w:i/>
                <w:sz w:val="24"/>
                <w:szCs w:val="24"/>
              </w:rPr>
              <w:t>Tipo 316 Ti</w:t>
            </w:r>
          </w:p>
          <w:p w:rsidR="00B941F4" w:rsidRDefault="0061642A">
            <w:pPr>
              <w:spacing w:before="4" w:line="264" w:lineRule="auto"/>
              <w:ind w:left="100"/>
              <w:jc w:val="both"/>
            </w:pPr>
            <w:r>
              <w:rPr>
                <w:i/>
                <w:sz w:val="24"/>
                <w:szCs w:val="24"/>
              </w:rPr>
              <w:t>(ASTM)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</w:pPr>
            <w:r>
              <w:rPr>
                <w:i/>
                <w:sz w:val="24"/>
                <w:szCs w:val="24"/>
              </w:rPr>
              <w:t>S31635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sz w:val="24"/>
                <w:szCs w:val="24"/>
              </w:rPr>
              <w:t>1.4571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jc w:val="both"/>
              <w:rPr>
                <w:i/>
                <w:color w:val="0000FF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</w:pPr>
            <w:r>
              <w:rPr>
                <w:i/>
                <w:color w:val="000000"/>
                <w:sz w:val="24"/>
                <w:szCs w:val="24"/>
              </w:rPr>
              <w:t>S32100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1.4541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</w:pPr>
            <w:r>
              <w:rPr>
                <w:i/>
                <w:sz w:val="24"/>
                <w:szCs w:val="24"/>
              </w:rPr>
              <w:t>329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</w:pPr>
            <w:r>
              <w:rPr>
                <w:i/>
                <w:sz w:val="24"/>
                <w:szCs w:val="24"/>
              </w:rPr>
              <w:t>S32900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sz w:val="24"/>
                <w:szCs w:val="24"/>
              </w:rPr>
              <w:t>1.4460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jc w:val="both"/>
              <w:rPr>
                <w:i/>
                <w:iCs/>
                <w:color w:val="0000FF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</w:pPr>
            <w:r>
              <w:rPr>
                <w:i/>
                <w:color w:val="000000"/>
                <w:sz w:val="24"/>
                <w:szCs w:val="24"/>
              </w:rPr>
              <w:t>S34700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1.4550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</w:pPr>
            <w:r>
              <w:rPr>
                <w:i/>
                <w:color w:val="000000"/>
                <w:sz w:val="24"/>
                <w:szCs w:val="24"/>
              </w:rPr>
              <w:t>S41000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1.4006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</w:pPr>
            <w:r>
              <w:rPr>
                <w:i/>
                <w:sz w:val="24"/>
                <w:szCs w:val="24"/>
              </w:rPr>
              <w:t>414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</w:pPr>
            <w:r>
              <w:rPr>
                <w:i/>
                <w:sz w:val="24"/>
                <w:szCs w:val="24"/>
              </w:rPr>
              <w:t>S41400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iCs/>
                <w:color w:val="0000FF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</w:pPr>
            <w:r>
              <w:rPr>
                <w:i/>
                <w:color w:val="000000"/>
                <w:sz w:val="24"/>
                <w:szCs w:val="24"/>
              </w:rPr>
              <w:t>S41600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1.4005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0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</w:pPr>
            <w:r>
              <w:rPr>
                <w:i/>
                <w:color w:val="000000"/>
                <w:sz w:val="24"/>
                <w:szCs w:val="24"/>
              </w:rPr>
              <w:t>S42000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1.4028</w:t>
            </w:r>
          </w:p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sz w:val="24"/>
                <w:szCs w:val="24"/>
              </w:rPr>
              <w:t>1.4021</w:t>
            </w:r>
          </w:p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sz w:val="24"/>
                <w:szCs w:val="24"/>
              </w:rPr>
              <w:t>1.4031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</w:pPr>
            <w:r>
              <w:rPr>
                <w:i/>
                <w:color w:val="000000"/>
                <w:sz w:val="24"/>
                <w:szCs w:val="24"/>
              </w:rPr>
              <w:t>S43000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1.4016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430 F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</w:pPr>
            <w:r>
              <w:rPr>
                <w:i/>
                <w:sz w:val="24"/>
                <w:szCs w:val="24"/>
                <w:lang w:val="en-US"/>
              </w:rPr>
              <w:t>S43020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sz w:val="24"/>
                <w:szCs w:val="24"/>
              </w:rPr>
              <w:t>1.4105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941F4">
        <w:trPr>
          <w:trHeight w:val="29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</w:pPr>
            <w:r>
              <w:rPr>
                <w:i/>
                <w:color w:val="000000"/>
                <w:sz w:val="24"/>
                <w:szCs w:val="24"/>
              </w:rPr>
              <w:t>S43100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color w:val="000000"/>
                <w:sz w:val="24"/>
                <w:szCs w:val="24"/>
              </w:rPr>
              <w:t>1.4057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0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</w:pPr>
            <w:r>
              <w:rPr>
                <w:i/>
                <w:sz w:val="24"/>
                <w:szCs w:val="24"/>
              </w:rPr>
              <w:t>1.4109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</w:tr>
      <w:tr w:rsidR="00B941F4">
        <w:trPr>
          <w:trHeight w:val="290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1.4110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90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1.4116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B941F4">
        <w:trPr>
          <w:trHeight w:val="290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S41050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1.4003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64" w:lineRule="auto"/>
              <w:ind w:left="100"/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S32760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1.4501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941F4">
        <w:trPr>
          <w:trHeight w:val="100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440 C</w:t>
            </w:r>
          </w:p>
          <w:p w:rsidR="00B941F4" w:rsidRDefault="00B941F4">
            <w:pPr>
              <w:jc w:val="both"/>
              <w:rPr>
                <w:i/>
                <w:sz w:val="24"/>
                <w:szCs w:val="24"/>
              </w:rPr>
            </w:pPr>
          </w:p>
          <w:p w:rsidR="00B941F4" w:rsidRDefault="00B941F4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S44004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1.4125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Solo para contacto momentáneo (menor o igual a 30 minutos) a temperatura ambiente con alimentos acuosos no ácidos y alimentos grasos.</w:t>
            </w: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Tipo 630 (ASTM)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S17400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1.4542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i/>
                <w:color w:val="0000FF"/>
                <w:sz w:val="24"/>
                <w:szCs w:val="24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S31803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1.4462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Solo para:</w:t>
            </w:r>
          </w:p>
          <w:p w:rsidR="00B941F4" w:rsidRDefault="0061642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-uso repetido y contacto breve a temperatura ambiente o calentamiento;  </w:t>
            </w:r>
          </w:p>
          <w:p w:rsidR="00B941F4" w:rsidRDefault="0061642A">
            <w:pPr>
              <w:spacing w:before="4" w:line="259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-para contacto prolongado a temperatura ambiente con alimentos grasos.</w:t>
            </w: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1.4590</w:t>
            </w:r>
          </w:p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Solo para:</w:t>
            </w:r>
          </w:p>
          <w:p w:rsidR="00B941F4" w:rsidRDefault="0061642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-uso repetido y contacto breve a temperatura ambiente o </w:t>
            </w:r>
            <w:r>
              <w:rPr>
                <w:i/>
                <w:sz w:val="24"/>
                <w:szCs w:val="24"/>
              </w:rPr>
              <w:lastRenderedPageBreak/>
              <w:t>calentamiento;  </w:t>
            </w:r>
          </w:p>
          <w:p w:rsidR="00B941F4" w:rsidRDefault="0061642A">
            <w:pPr>
              <w:spacing w:before="4" w:line="259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-para contacto prolongado a temperatura ambiente con alimentos grasos.</w:t>
            </w: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S32304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1.4362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S32101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1.4162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iCs/>
                <w:color w:val="0000FF"/>
                <w:sz w:val="24"/>
                <w:szCs w:val="24"/>
                <w:lang w:val="en-US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64" w:lineRule="auto"/>
              <w:ind w:left="100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439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S43035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1.4510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  <w:lang w:val="en-US"/>
              </w:rPr>
              <w:t>430 LX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S43940</w:t>
            </w:r>
          </w:p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S43932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1.4509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rFonts w:eastAsia="Times New Roman"/>
                <w:i/>
                <w:sz w:val="24"/>
                <w:szCs w:val="24"/>
                <w:lang w:val="en-US"/>
              </w:rPr>
            </w:pPr>
            <w:bookmarkStart w:id="1" w:name="_heading=h.gjdgxs"/>
            <w:bookmarkEnd w:id="1"/>
            <w:r>
              <w:rPr>
                <w:i/>
                <w:sz w:val="24"/>
                <w:szCs w:val="24"/>
                <w:lang w:val="es-AR"/>
              </w:rPr>
              <w:t xml:space="preserve">  </w:t>
            </w:r>
            <w:r>
              <w:rPr>
                <w:i/>
                <w:sz w:val="24"/>
                <w:szCs w:val="24"/>
                <w:lang w:val="en-US"/>
              </w:rPr>
              <w:t>444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S44400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1.4521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S44500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86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1.4621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86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tabs>
                <w:tab w:val="left" w:pos="313"/>
                <w:tab w:val="center" w:pos="767"/>
              </w:tabs>
              <w:spacing w:before="4" w:line="259" w:lineRule="auto"/>
              <w:ind w:right="2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S82441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440 </w:t>
            </w:r>
            <w:proofErr w:type="gramStart"/>
            <w:r>
              <w:rPr>
                <w:i/>
                <w:sz w:val="24"/>
                <w:szCs w:val="24"/>
              </w:rPr>
              <w:t>A</w:t>
            </w:r>
            <w:proofErr w:type="gram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S44002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Solo para la fabricación de cuchillería y elementos de corte.</w:t>
            </w: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Tipo 436</w:t>
            </w:r>
          </w:p>
          <w:p w:rsidR="00B941F4" w:rsidRDefault="0061642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(ASTM)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S43600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1.4526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Tipo 800</w:t>
            </w:r>
          </w:p>
          <w:p w:rsidR="00B941F4" w:rsidRDefault="0061642A">
            <w:pPr>
              <w:jc w:val="both"/>
              <w:rPr>
                <w:bCs/>
                <w:i/>
                <w:color w:val="1F497D" w:themeColor="text2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(ASTM)</w:t>
            </w:r>
          </w:p>
          <w:p w:rsidR="00B941F4" w:rsidRDefault="00B941F4">
            <w:pPr>
              <w:jc w:val="both"/>
              <w:rPr>
                <w:bCs/>
                <w:i/>
                <w:color w:val="0000FF"/>
                <w:sz w:val="24"/>
                <w:szCs w:val="24"/>
              </w:rPr>
            </w:pPr>
          </w:p>
          <w:p w:rsidR="00B941F4" w:rsidRDefault="00B941F4">
            <w:pPr>
              <w:jc w:val="both"/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N0880</w:t>
            </w:r>
          </w:p>
          <w:p w:rsidR="00B941F4" w:rsidRDefault="00B941F4">
            <w:pPr>
              <w:spacing w:before="4" w:line="259" w:lineRule="auto"/>
              <w:ind w:left="86" w:right="237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1.4876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Solo para la fabricación de elementos calefactores blindados para diferentes tipos de dispensadores automáticos de bebidas.</w:t>
            </w: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86" w:right="237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1.4598</w:t>
            </w:r>
          </w:p>
          <w:p w:rsidR="00B941F4" w:rsidRDefault="00B941F4">
            <w:pPr>
              <w:spacing w:before="4" w:line="259" w:lineRule="auto"/>
              <w:ind w:left="110"/>
              <w:jc w:val="both"/>
              <w:rPr>
                <w:bCs/>
                <w:i/>
                <w:color w:val="0000FF"/>
                <w:sz w:val="24"/>
                <w:szCs w:val="24"/>
              </w:rPr>
            </w:pPr>
          </w:p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Solo para la fabricación de componentes o partes de válvulas en contacto con agua.</w:t>
            </w: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86" w:right="237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1.4611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86" w:right="237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1.4613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86" w:right="237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1.4618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jc w:val="both"/>
              <w:rPr>
                <w:i/>
                <w:iCs/>
                <w:color w:val="0000FF"/>
                <w:sz w:val="24"/>
                <w:szCs w:val="24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312 L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S31254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1.4547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jc w:val="both"/>
              <w:rPr>
                <w:i/>
                <w:iCs/>
                <w:color w:val="0000FF"/>
                <w:sz w:val="24"/>
                <w:szCs w:val="24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S82031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1.4637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jc w:val="both"/>
              <w:rPr>
                <w:i/>
                <w:color w:val="FF0000"/>
                <w:sz w:val="24"/>
                <w:szCs w:val="24"/>
                <w:lang w:val="es-AR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S82012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110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1.4635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jc w:val="both"/>
              <w:rPr>
                <w:i/>
                <w:color w:val="0000FF"/>
                <w:sz w:val="24"/>
                <w:szCs w:val="24"/>
                <w:lang w:val="es-AR"/>
              </w:rPr>
            </w:pPr>
          </w:p>
        </w:tc>
      </w:tr>
      <w:tr w:rsidR="00B941F4">
        <w:trPr>
          <w:trHeight w:val="283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left="86" w:right="237"/>
              <w:jc w:val="both"/>
              <w:rPr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S31655 </w:t>
            </w:r>
            <w:r>
              <w:rPr>
                <w:i/>
                <w:sz w:val="24"/>
                <w:szCs w:val="24"/>
                <w:lang w:val="en-US"/>
              </w:rPr>
              <w:t>(ASTM)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41F4" w:rsidRDefault="0061642A">
            <w:pPr>
              <w:spacing w:before="4" w:line="259" w:lineRule="auto"/>
              <w:ind w:right="2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S31655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ind w:left="11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41F4" w:rsidRDefault="00B941F4">
            <w:pPr>
              <w:spacing w:before="4" w:line="259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B941F4" w:rsidRDefault="0061642A">
      <w:pP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</w:p>
    <w:p w:rsidR="00B941F4" w:rsidRDefault="00B941F4">
      <w:pPr>
        <w:spacing w:before="1"/>
        <w:jc w:val="both"/>
        <w:rPr>
          <w:color w:val="FF0000"/>
          <w:sz w:val="24"/>
          <w:szCs w:val="24"/>
        </w:rPr>
      </w:pPr>
    </w:p>
    <w:p w:rsidR="00B941F4" w:rsidRDefault="0061642A">
      <w:pPr>
        <w:tabs>
          <w:tab w:val="left" w:pos="16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Sustituir el ítem 3.1.3 del Anexo de la Res. GMC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46/06 por el siguiente texto:</w:t>
      </w:r>
    </w:p>
    <w:p w:rsidR="00B941F4" w:rsidRDefault="00B941F4">
      <w:pPr>
        <w:tabs>
          <w:tab w:val="left" w:pos="1602"/>
        </w:tabs>
        <w:jc w:val="both"/>
        <w:rPr>
          <w:sz w:val="24"/>
          <w:szCs w:val="24"/>
        </w:rPr>
      </w:pPr>
    </w:p>
    <w:p w:rsidR="00B941F4" w:rsidRDefault="0061642A">
      <w:pPr>
        <w:tabs>
          <w:tab w:val="left" w:pos="1602"/>
        </w:tabs>
        <w:jc w:val="both"/>
        <w:rPr>
          <w:i/>
          <w:color w:val="E36C0A" w:themeColor="accent6" w:themeShade="BF"/>
          <w:sz w:val="24"/>
          <w:szCs w:val="24"/>
        </w:rPr>
      </w:pPr>
      <w:r>
        <w:rPr>
          <w:i/>
          <w:sz w:val="24"/>
          <w:szCs w:val="24"/>
        </w:rPr>
        <w:t>“3.1.3 Aluminio técnicamente puro y sus aleaciones:</w:t>
      </w:r>
    </w:p>
    <w:p w:rsidR="00B941F4" w:rsidRDefault="0061642A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a) anodizado o con la superficie totalmente enlozada, vitrificada, esmaltada o protegida con revestimientos poliméricos.</w:t>
      </w:r>
    </w:p>
    <w:p w:rsidR="00B941F4" w:rsidRDefault="0061642A">
      <w:pPr>
        <w:tabs>
          <w:tab w:val="left" w:pos="1602"/>
        </w:tabs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b) sin anodizar o sin los revestimientos superficiales mencionados en a), solo para uso en las siguientes condiciones:</w:t>
      </w:r>
    </w:p>
    <w:p w:rsidR="00B941F4" w:rsidRDefault="0061642A">
      <w:pPr>
        <w:tabs>
          <w:tab w:val="left" w:pos="1602"/>
        </w:tabs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i) Contacto breve (inferior a 24 horas), a cualquier temperatura. </w:t>
      </w:r>
    </w:p>
    <w:p w:rsidR="00B941F4" w:rsidRDefault="0061642A">
      <w:pPr>
        <w:tabs>
          <w:tab w:val="left" w:pos="1602"/>
        </w:tabs>
        <w:ind w:firstLine="1418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ii</w:t>
      </w:r>
      <w:proofErr w:type="spellEnd"/>
      <w:r>
        <w:rPr>
          <w:i/>
          <w:sz w:val="24"/>
          <w:szCs w:val="24"/>
        </w:rPr>
        <w:t>) Contacto prolongado (más de 24 horas), a temperatura de refrigeración o congelación.</w:t>
      </w:r>
    </w:p>
    <w:p w:rsidR="00B941F4" w:rsidRDefault="0061642A">
      <w:pPr>
        <w:tabs>
          <w:tab w:val="left" w:pos="1602"/>
        </w:tabs>
        <w:ind w:firstLine="1418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iii</w:t>
      </w:r>
      <w:proofErr w:type="spellEnd"/>
      <w:r>
        <w:rPr>
          <w:i/>
          <w:sz w:val="24"/>
          <w:szCs w:val="24"/>
        </w:rPr>
        <w:t>) Contacto prolongado (más de 24 horas), a temperatura ambiente, únicamente con los alimentos secos o grasos.</w:t>
      </w:r>
    </w:p>
    <w:p w:rsidR="00B941F4" w:rsidRDefault="00B941F4">
      <w:pPr>
        <w:ind w:firstLine="1418"/>
        <w:rPr>
          <w:i/>
          <w:strike/>
          <w:sz w:val="24"/>
          <w:szCs w:val="24"/>
        </w:rPr>
      </w:pPr>
    </w:p>
    <w:p w:rsidR="00B941F4" w:rsidRDefault="0061642A">
      <w:pPr>
        <w:tabs>
          <w:tab w:val="left" w:pos="1602"/>
        </w:tabs>
        <w:ind w:firstLine="11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Los envases, utensilios, tapas y equipamientos mencionados en b) no son aptos para preparar, cocinar, calentar o almacenar alimentos </w:t>
      </w:r>
      <w:proofErr w:type="gramStart"/>
      <w:r>
        <w:rPr>
          <w:i/>
          <w:sz w:val="24"/>
          <w:szCs w:val="24"/>
        </w:rPr>
        <w:t>muy ácidos o muy salados</w:t>
      </w:r>
      <w:proofErr w:type="gramEnd"/>
      <w:r>
        <w:rPr>
          <w:i/>
          <w:sz w:val="24"/>
          <w:szCs w:val="24"/>
        </w:rPr>
        <w:t xml:space="preserve"> tales como anchoas en conserva, jugo de limón, alcaparras en conserva, vinagre, jugo de manzana.</w:t>
      </w:r>
    </w:p>
    <w:p w:rsidR="00B941F4" w:rsidRDefault="00B941F4">
      <w:pPr>
        <w:tabs>
          <w:tab w:val="left" w:pos="1602"/>
        </w:tabs>
        <w:ind w:firstLine="1134"/>
        <w:jc w:val="both"/>
        <w:rPr>
          <w:sz w:val="24"/>
          <w:szCs w:val="24"/>
        </w:rPr>
      </w:pPr>
    </w:p>
    <w:p w:rsidR="00B941F4" w:rsidRDefault="0061642A">
      <w:pPr>
        <w:tabs>
          <w:tab w:val="left" w:pos="1602"/>
        </w:tabs>
        <w:ind w:firstLine="11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Los proveedores de artículos de aluminio y sus aleaciones destinados a estar en contacto directo con alimentos, que no cumplan con lo establecido en a), deberán suministrar junto con el producto la siguiente información a los consumidores/usuarios sobre las condiciones de uso en que pueden ser utilizados: “No adecuado para contacto con alimentos </w:t>
      </w:r>
      <w:proofErr w:type="gramStart"/>
      <w:r>
        <w:rPr>
          <w:i/>
          <w:sz w:val="24"/>
          <w:szCs w:val="24"/>
        </w:rPr>
        <w:t>muy ácidos o muy salados</w:t>
      </w:r>
      <w:proofErr w:type="gramEnd"/>
      <w:r>
        <w:rPr>
          <w:i/>
          <w:sz w:val="24"/>
          <w:szCs w:val="24"/>
        </w:rPr>
        <w:t xml:space="preserve"> como jugo de limón, vinagre o alcaparras en conserva. Sin restricción para contacto con alimentos secos o grasos. Para almacenamiento por período superior a 24h de otros tipos de alimentos, mantener bajo refrigeración o congelamiento”.</w:t>
      </w:r>
    </w:p>
    <w:p w:rsidR="00B941F4" w:rsidRDefault="00B941F4">
      <w:pPr>
        <w:tabs>
          <w:tab w:val="left" w:pos="1602"/>
        </w:tabs>
        <w:jc w:val="both"/>
        <w:rPr>
          <w:i/>
          <w:sz w:val="24"/>
          <w:szCs w:val="24"/>
        </w:rPr>
      </w:pPr>
    </w:p>
    <w:p w:rsidR="00B941F4" w:rsidRDefault="0061642A">
      <w:pPr>
        <w:tabs>
          <w:tab w:val="left" w:pos="1602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Nota: El uso de los ejemplos de alimentos “como jugo de limón, vinagre o alcaparras en conserva” en la frase informativa es facultativo.”</w:t>
      </w:r>
    </w:p>
    <w:p w:rsidR="00B941F4" w:rsidRDefault="00B941F4">
      <w:pPr>
        <w:tabs>
          <w:tab w:val="left" w:pos="1602"/>
        </w:tabs>
        <w:jc w:val="both"/>
        <w:rPr>
          <w:sz w:val="24"/>
          <w:szCs w:val="24"/>
          <w:highlight w:val="red"/>
        </w:rPr>
      </w:pPr>
    </w:p>
    <w:p w:rsidR="00B941F4" w:rsidRDefault="00B941F4">
      <w:pPr>
        <w:tabs>
          <w:tab w:val="left" w:pos="1602"/>
        </w:tabs>
        <w:jc w:val="both"/>
        <w:rPr>
          <w:sz w:val="24"/>
          <w:szCs w:val="24"/>
        </w:rPr>
      </w:pPr>
    </w:p>
    <w:p w:rsidR="00B941F4" w:rsidRDefault="0061642A">
      <w:pPr>
        <w:tabs>
          <w:tab w:val="left" w:pos="16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– Incluir en el ítem 3.1 del </w:t>
      </w:r>
      <w:bookmarkStart w:id="2" w:name="_Hlk87791488"/>
      <w:r>
        <w:rPr>
          <w:sz w:val="24"/>
          <w:szCs w:val="24"/>
        </w:rPr>
        <w:t xml:space="preserve">Anexo de la </w:t>
      </w:r>
      <w:bookmarkEnd w:id="2"/>
      <w:r>
        <w:rPr>
          <w:sz w:val="24"/>
          <w:szCs w:val="24"/>
        </w:rPr>
        <w:t xml:space="preserve">Res. GMC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46/06 las siguientes materias primas metálicas:</w:t>
      </w:r>
    </w:p>
    <w:p w:rsidR="00B941F4" w:rsidRDefault="00B941F4">
      <w:pPr>
        <w:tabs>
          <w:tab w:val="left" w:pos="1602"/>
        </w:tabs>
        <w:jc w:val="both"/>
        <w:rPr>
          <w:i/>
          <w:sz w:val="24"/>
          <w:szCs w:val="24"/>
        </w:rPr>
      </w:pPr>
    </w:p>
    <w:p w:rsidR="00B941F4" w:rsidRDefault="0061642A">
      <w:pPr>
        <w:tabs>
          <w:tab w:val="left" w:pos="1602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“3.1.10 Aleaciones de acero inoxidable listadas en el ítem 3.1.1, con la superficie totalmente enlozada, vitrificada, esmaltada o protegida con revestimientos poliméricos.</w:t>
      </w:r>
    </w:p>
    <w:p w:rsidR="00B941F4" w:rsidRDefault="0061642A">
      <w:pPr>
        <w:tabs>
          <w:tab w:val="left" w:pos="1602"/>
        </w:tabs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</w:p>
    <w:p w:rsidR="00B941F4" w:rsidRDefault="0061642A">
      <w:pPr>
        <w:widowControl/>
        <w:jc w:val="both"/>
        <w:rPr>
          <w:rFonts w:eastAsia="Calibri"/>
          <w:i/>
          <w:sz w:val="24"/>
          <w:szCs w:val="24"/>
          <w:lang w:val="es-AR" w:eastAsia="en-US" w:bidi="ar-SA"/>
        </w:rPr>
      </w:pPr>
      <w:r>
        <w:rPr>
          <w:rFonts w:eastAsia="Calibri"/>
          <w:i/>
          <w:sz w:val="24"/>
          <w:szCs w:val="24"/>
          <w:lang w:val="es-AR" w:eastAsia="en-US" w:bidi="ar-SA"/>
        </w:rPr>
        <w:t>3.1.11 Acero al carbono sin revestimiento solo para la fabricación de equipamientos de la industria agroalimentaria para el procesamiento, almacenamiento (tanques, silos, etc.), conducción (tubuladuras, accesorios, etc.) y transporte (contenedores de navíos, ferroviarios, etc.), de grasas y aceites sin refinar y semirrefinados, alimentos secos (arroz y otros cereales, legumbres, etc.) y tubérculos.</w:t>
      </w:r>
    </w:p>
    <w:p w:rsidR="00B941F4" w:rsidRDefault="00B941F4">
      <w:pPr>
        <w:widowControl/>
        <w:jc w:val="both"/>
        <w:rPr>
          <w:rFonts w:eastAsia="Calibri"/>
          <w:i/>
          <w:sz w:val="24"/>
          <w:szCs w:val="24"/>
          <w:highlight w:val="cyan"/>
          <w:lang w:val="es-AR" w:eastAsia="en-US" w:bidi="ar-SA"/>
        </w:rPr>
      </w:pPr>
    </w:p>
    <w:p w:rsidR="00B941F4" w:rsidRDefault="0061642A">
      <w:pPr>
        <w:widowControl/>
        <w:spacing w:after="160" w:line="259" w:lineRule="auto"/>
        <w:contextualSpacing/>
        <w:jc w:val="both"/>
        <w:rPr>
          <w:rFonts w:eastAsia="Calibri"/>
          <w:i/>
          <w:sz w:val="24"/>
          <w:szCs w:val="24"/>
          <w:lang w:val="es-ES_tradnl" w:eastAsia="en-US" w:bidi="ar-SA"/>
        </w:rPr>
      </w:pPr>
      <w:r w:rsidRPr="0061642A">
        <w:rPr>
          <w:rFonts w:eastAsia="Calibri"/>
          <w:i/>
          <w:sz w:val="24"/>
          <w:szCs w:val="24"/>
        </w:rPr>
        <w:t xml:space="preserve">3.1.12 </w:t>
      </w:r>
      <w:r>
        <w:rPr>
          <w:rFonts w:eastAsia="Calibri"/>
          <w:i/>
          <w:sz w:val="24"/>
          <w:szCs w:val="24"/>
          <w:lang w:val="es-AR" w:eastAsia="en-US" w:bidi="ar-SA"/>
        </w:rPr>
        <w:t>Metales y revestimientos metálicos</w:t>
      </w:r>
      <w:r w:rsidRPr="0061642A">
        <w:rPr>
          <w:rFonts w:eastAsia="Calibri"/>
          <w:i/>
          <w:sz w:val="24"/>
          <w:szCs w:val="24"/>
          <w:lang w:eastAsia="en-US" w:bidi="ar-SA"/>
        </w:rPr>
        <w:t xml:space="preserve"> </w:t>
      </w:r>
      <w:r>
        <w:rPr>
          <w:rFonts w:eastAsia="Calibri"/>
          <w:i/>
          <w:sz w:val="24"/>
          <w:szCs w:val="24"/>
          <w:lang w:val="es-ES_tradnl" w:eastAsia="en-US" w:bidi="ar-SA"/>
        </w:rPr>
        <w:t xml:space="preserve">pasivados </w:t>
      </w:r>
    </w:p>
    <w:p w:rsidR="00B941F4" w:rsidRPr="0061642A" w:rsidRDefault="00B941F4">
      <w:pPr>
        <w:widowControl/>
        <w:spacing w:after="160" w:line="259" w:lineRule="auto"/>
        <w:contextualSpacing/>
        <w:jc w:val="both"/>
        <w:rPr>
          <w:rFonts w:eastAsia="Calibri"/>
          <w:i/>
          <w:sz w:val="24"/>
          <w:szCs w:val="24"/>
          <w:lang w:eastAsia="en-US" w:bidi="ar-SA"/>
        </w:rPr>
      </w:pPr>
    </w:p>
    <w:p w:rsidR="00B941F4" w:rsidRDefault="0061642A">
      <w:pPr>
        <w:widowControl/>
        <w:jc w:val="both"/>
        <w:rPr>
          <w:rFonts w:eastAsia="Calibri"/>
          <w:i/>
          <w:sz w:val="24"/>
          <w:szCs w:val="24"/>
          <w:lang w:val="es-AR" w:eastAsia="en-US" w:bidi="ar-SA"/>
        </w:rPr>
      </w:pPr>
      <w:r>
        <w:rPr>
          <w:rFonts w:eastAsia="Calibri"/>
          <w:i/>
          <w:sz w:val="24"/>
          <w:szCs w:val="24"/>
          <w:lang w:val="es-AR" w:eastAsia="en-US" w:bidi="ar-SA"/>
        </w:rPr>
        <w:t xml:space="preserve">Los metales y revestimientos metálicos pueden pasivarse por medio de un </w:t>
      </w:r>
      <w:proofErr w:type="spellStart"/>
      <w:r>
        <w:rPr>
          <w:rFonts w:eastAsia="Calibri"/>
          <w:i/>
          <w:sz w:val="24"/>
          <w:szCs w:val="24"/>
          <w:lang w:val="es-AR" w:eastAsia="en-US" w:bidi="ar-SA"/>
        </w:rPr>
        <w:t>post-tratamiento</w:t>
      </w:r>
      <w:proofErr w:type="spellEnd"/>
      <w:r>
        <w:rPr>
          <w:rFonts w:eastAsia="Calibri"/>
          <w:i/>
          <w:sz w:val="24"/>
          <w:szCs w:val="24"/>
          <w:lang w:val="es-AR" w:eastAsia="en-US" w:bidi="ar-SA"/>
        </w:rPr>
        <w:t xml:space="preserve"> químico o electroquímico con cromo, manganeso, titanio, estaño y/o circonio y/o sus óxidos y/o sales inorgánicas.”</w:t>
      </w:r>
    </w:p>
    <w:p w:rsidR="00B941F4" w:rsidRDefault="00B941F4">
      <w:pPr>
        <w:widowControl/>
        <w:jc w:val="both"/>
        <w:rPr>
          <w:rFonts w:eastAsia="Calibri"/>
          <w:sz w:val="24"/>
          <w:szCs w:val="24"/>
          <w:lang w:val="es-AR" w:eastAsia="en-US" w:bidi="ar-SA"/>
        </w:rPr>
      </w:pPr>
    </w:p>
    <w:p w:rsidR="00B941F4" w:rsidRDefault="0061642A">
      <w:pPr>
        <w:tabs>
          <w:tab w:val="left" w:pos="16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4 - Sustituir los ítems 3.1.9.1 y 3.1.9.2 del Anexo de la Res. GMC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46/06 por el siguiente texto:</w:t>
      </w:r>
    </w:p>
    <w:p w:rsidR="00B941F4" w:rsidRDefault="00B941F4">
      <w:pPr>
        <w:widowControl/>
        <w:jc w:val="both"/>
        <w:rPr>
          <w:rFonts w:eastAsia="Calibri"/>
          <w:sz w:val="24"/>
          <w:szCs w:val="24"/>
          <w:lang w:val="es-AR" w:eastAsia="en-US" w:bidi="ar-SA"/>
        </w:rPr>
      </w:pPr>
    </w:p>
    <w:p w:rsidR="00B941F4" w:rsidRDefault="0061642A">
      <w:pPr>
        <w:widowControl/>
        <w:shd w:val="clear" w:color="auto" w:fill="FFFFFF"/>
        <w:spacing w:line="360" w:lineRule="atLeast"/>
        <w:jc w:val="both"/>
        <w:rPr>
          <w:rFonts w:eastAsia="Calibri"/>
          <w:i/>
          <w:sz w:val="24"/>
          <w:szCs w:val="24"/>
          <w:lang w:val="es-AR" w:eastAsia="en-US" w:bidi="ar-SA"/>
        </w:rPr>
      </w:pPr>
      <w:r>
        <w:rPr>
          <w:rFonts w:eastAsia="Calibri"/>
          <w:i/>
          <w:sz w:val="24"/>
          <w:szCs w:val="24"/>
          <w:lang w:val="es-AR" w:eastAsia="en-US" w:bidi="ar-SA"/>
        </w:rPr>
        <w:t>“3.1.9.1 Hojalata sin revestimiento polimérico.</w:t>
      </w:r>
    </w:p>
    <w:p w:rsidR="00B941F4" w:rsidRDefault="0061642A">
      <w:pPr>
        <w:widowControl/>
        <w:shd w:val="clear" w:color="auto" w:fill="FFFFFF"/>
        <w:spacing w:line="360" w:lineRule="atLeast"/>
        <w:jc w:val="both"/>
        <w:rPr>
          <w:rFonts w:eastAsia="Calibri"/>
          <w:i/>
          <w:sz w:val="24"/>
          <w:szCs w:val="24"/>
          <w:lang w:val="es-AR" w:eastAsia="en-US" w:bidi="ar-SA"/>
        </w:rPr>
      </w:pPr>
      <w:r>
        <w:rPr>
          <w:rFonts w:eastAsia="Calibri"/>
          <w:i/>
          <w:sz w:val="24"/>
          <w:szCs w:val="24"/>
          <w:lang w:val="es-AR" w:eastAsia="en-US" w:bidi="ar-SA"/>
        </w:rPr>
        <w:lastRenderedPageBreak/>
        <w:t>3.1.9.2 Hojalata con revestimiento polimérico interno, total o parcial.”</w:t>
      </w:r>
    </w:p>
    <w:p w:rsidR="00B941F4" w:rsidRDefault="00B941F4">
      <w:pPr>
        <w:widowControl/>
        <w:shd w:val="clear" w:color="auto" w:fill="FFFFFF"/>
        <w:spacing w:line="360" w:lineRule="atLeast"/>
        <w:jc w:val="both"/>
        <w:rPr>
          <w:sz w:val="24"/>
          <w:szCs w:val="24"/>
          <w:lang w:val="es-AR"/>
        </w:rPr>
      </w:pPr>
    </w:p>
    <w:p w:rsidR="00B941F4" w:rsidRDefault="0061642A">
      <w:pPr>
        <w:tabs>
          <w:tab w:val="left" w:pos="16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5 - Sustituir el ítem 2.8 del Anexo de la Res. GMC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46/06 por el siguiente texto:</w:t>
      </w:r>
    </w:p>
    <w:p w:rsidR="00B941F4" w:rsidRDefault="00B941F4">
      <w:pPr>
        <w:widowControl/>
        <w:jc w:val="both"/>
        <w:rPr>
          <w:sz w:val="24"/>
          <w:szCs w:val="24"/>
        </w:rPr>
      </w:pPr>
    </w:p>
    <w:p w:rsidR="00B941F4" w:rsidRDefault="0061642A">
      <w:pPr>
        <w:widowControl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“2.8 Los materiales metálicos no deben contener más de 1 % de impurezas constituidas por plomo, arsénico, cadmio, mercurio y antimonio considerados en conjunto. El límite individual de arsénico, mercurio y plomo no debe ser mayor de 0,01 %.”</w:t>
      </w:r>
    </w:p>
    <w:p w:rsidR="00B941F4" w:rsidRDefault="00B941F4">
      <w:pPr>
        <w:widowControl/>
        <w:jc w:val="both"/>
        <w:rPr>
          <w:sz w:val="24"/>
          <w:szCs w:val="24"/>
          <w:u w:val="single"/>
        </w:rPr>
      </w:pPr>
    </w:p>
    <w:p w:rsidR="00B941F4" w:rsidRPr="0061642A" w:rsidRDefault="00B941F4">
      <w:pPr>
        <w:widowControl/>
        <w:jc w:val="both"/>
        <w:rPr>
          <w:sz w:val="24"/>
          <w:szCs w:val="24"/>
          <w:u w:val="single"/>
        </w:rPr>
      </w:pPr>
    </w:p>
    <w:sectPr w:rsidR="00B941F4" w:rsidRPr="0061642A">
      <w:footerReference w:type="default" r:id="rId8"/>
      <w:pgSz w:w="12240" w:h="15840"/>
      <w:pgMar w:top="1340" w:right="1540" w:bottom="1320" w:left="1540" w:header="0" w:footer="1123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3E0" w:rsidRDefault="008653E0">
      <w:r>
        <w:separator/>
      </w:r>
    </w:p>
  </w:endnote>
  <w:endnote w:type="continuationSeparator" w:id="0">
    <w:p w:rsidR="008653E0" w:rsidRDefault="0086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F4" w:rsidRDefault="00B941F4">
    <w:pPr>
      <w:spacing w:line="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3E0" w:rsidRDefault="008653E0">
      <w:r>
        <w:separator/>
      </w:r>
    </w:p>
  </w:footnote>
  <w:footnote w:type="continuationSeparator" w:id="0">
    <w:p w:rsidR="008653E0" w:rsidRDefault="0086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137"/>
    <w:multiLevelType w:val="multilevel"/>
    <w:tmpl w:val="FB047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D3B5E"/>
    <w:multiLevelType w:val="multilevel"/>
    <w:tmpl w:val="82E898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9F61C3"/>
    <w:multiLevelType w:val="multilevel"/>
    <w:tmpl w:val="96665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5155DC8"/>
    <w:multiLevelType w:val="multilevel"/>
    <w:tmpl w:val="234A2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FD15957"/>
    <w:multiLevelType w:val="multilevel"/>
    <w:tmpl w:val="733C33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1002BCC"/>
    <w:multiLevelType w:val="multilevel"/>
    <w:tmpl w:val="B57ABB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D5F43A3"/>
    <w:multiLevelType w:val="multilevel"/>
    <w:tmpl w:val="05EC8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738B74E1"/>
    <w:multiLevelType w:val="multilevel"/>
    <w:tmpl w:val="3C26E4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7ADE6CE9"/>
    <w:multiLevelType w:val="multilevel"/>
    <w:tmpl w:val="02049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7"/>
    <w:lvlOverride w:ilvl="0">
      <w:startOverride w:val="1"/>
    </w:lvlOverride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F4"/>
    <w:rsid w:val="0061642A"/>
    <w:rsid w:val="008653E0"/>
    <w:rsid w:val="00A26978"/>
    <w:rsid w:val="00B941F4"/>
    <w:rsid w:val="00B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A1E21-131D-43AA-B69B-83ECD54E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lang w:eastAsia="es-ES" w:bidi="es-ES"/>
    </w:rPr>
  </w:style>
  <w:style w:type="paragraph" w:styleId="Ttulo1">
    <w:name w:val="heading 1"/>
    <w:basedOn w:val="Normal"/>
    <w:qFormat/>
    <w:pPr>
      <w:ind w:left="1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sid w:val="00EA1E2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EA1E2D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EA1E2D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1E2D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75CD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D42262"/>
    <w:rPr>
      <w:color w:val="605E5C"/>
      <w:shd w:val="clear" w:color="auto" w:fill="E1DFDD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D86F8D"/>
    <w:rPr>
      <w:color w:val="800080" w:themeColor="followedHyperlink"/>
      <w:u w:val="single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67" w:lineRule="exact"/>
      <w:ind w:left="86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EA1E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EA1E2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1E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qFormat/>
    <w:rsid w:val="00312C0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651161"/>
    <w:rPr>
      <w:lang w:eastAsia="es-ES" w:bidi="es-ES"/>
    </w:rPr>
  </w:style>
  <w:style w:type="paragraph" w:customStyle="1" w:styleId="Default">
    <w:name w:val="Default"/>
    <w:qFormat/>
    <w:rsid w:val="007D3115"/>
    <w:rPr>
      <w:rFonts w:ascii="Calibri" w:hAnsi="Calibri" w:cs="Calibri"/>
      <w:color w:val="000000"/>
      <w:sz w:val="24"/>
      <w:szCs w:val="24"/>
      <w:lang w:val="es-AR"/>
    </w:rPr>
  </w:style>
  <w:style w:type="paragraph" w:customStyle="1" w:styleId="xmsonormal">
    <w:name w:val="xmsonormal"/>
    <w:basedOn w:val="Normal"/>
    <w:qFormat/>
    <w:rsid w:val="00D42262"/>
    <w:pPr>
      <w:widowControl/>
    </w:pPr>
    <w:rPr>
      <w:rFonts w:ascii="Calibri" w:eastAsiaTheme="minorHAnsi" w:hAnsi="Calibri" w:cs="Calibri"/>
      <w:lang w:val="es-AR" w:eastAsia="es-AR" w:bidi="ar-SA"/>
    </w:rPr>
  </w:style>
  <w:style w:type="paragraph" w:customStyle="1" w:styleId="Predeterminado">
    <w:name w:val="Predeterminado"/>
    <w:qFormat/>
    <w:rsid w:val="00243168"/>
    <w:pPr>
      <w:widowControl w:val="0"/>
      <w:tabs>
        <w:tab w:val="left" w:pos="709"/>
      </w:tabs>
      <w:spacing w:after="200" w:line="276" w:lineRule="auto"/>
    </w:pPr>
    <w:rPr>
      <w:rFonts w:ascii="Times New Roman" w:eastAsia="Droid Sans Fallback" w:hAnsi="Times New Roman" w:cs="FreeSans"/>
      <w:sz w:val="24"/>
      <w:szCs w:val="24"/>
      <w:lang w:val="es-PY" w:eastAsia="zh-CN" w:bidi="hi-IN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Cabeceraypie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KvlICkIqq8YVOJ9BG0rrI0NI8Wg==">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I.</dc:creator>
  <dc:description/>
  <cp:lastModifiedBy>Maria Borthagaray</cp:lastModifiedBy>
  <cp:revision>2</cp:revision>
  <dcterms:created xsi:type="dcterms:W3CDTF">2022-06-08T17:53:00Z</dcterms:created>
  <dcterms:modified xsi:type="dcterms:W3CDTF">2022-06-08T17:53:00Z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2006-11-27T00:00:00Z</vt:filetime>
  </property>
  <property fmtid="{D5CDD505-2E9C-101B-9397-08002B2CF9AE}" pid="3" name="LastSaved">
    <vt:filetime>2006-11-27T00:00:00Z</vt:filetime>
  </property>
</Properties>
</file>