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02F50" w:rsidRDefault="00602F50" w:rsidP="00D12BCD">
      <w:pPr>
        <w:spacing w:line="288" w:lineRule="auto"/>
        <w:rPr>
          <w:rFonts w:ascii="Verdana" w:eastAsia="Times New Roman" w:hAnsi="Verdana" w:cs="Times New Roman"/>
          <w:sz w:val="20"/>
          <w:szCs w:val="20"/>
          <w:lang w:val="es-UY"/>
        </w:rPr>
      </w:pPr>
    </w:p>
    <w:p w:rsidR="006D5A96" w:rsidRPr="006D5A96" w:rsidRDefault="006D5A96" w:rsidP="00D12BCD">
      <w:pPr>
        <w:widowControl w:val="0"/>
        <w:suppressAutoHyphens w:val="0"/>
        <w:spacing w:line="288" w:lineRule="auto"/>
        <w:ind w:right="3"/>
        <w:jc w:val="center"/>
        <w:rPr>
          <w:rFonts w:ascii="Aquawax Med" w:eastAsia="Times New Roman" w:hAnsi="Aquawax Med" w:cs="Verdana"/>
          <w:b/>
          <w:bCs/>
          <w:kern w:val="0"/>
          <w:sz w:val="24"/>
          <w:szCs w:val="20"/>
          <w:lang w:val="es-UY"/>
        </w:rPr>
      </w:pPr>
      <w:r w:rsidRPr="006D5A96">
        <w:rPr>
          <w:rFonts w:ascii="Aquawax Med" w:eastAsia="Times New Roman" w:hAnsi="Aquawax Med" w:cs="Verdana"/>
          <w:b/>
          <w:bCs/>
          <w:kern w:val="0"/>
          <w:sz w:val="24"/>
          <w:szCs w:val="20"/>
          <w:lang w:val="es-UY"/>
        </w:rPr>
        <w:t>REACTIVOS DE DIAGN</w:t>
      </w:r>
      <w:r w:rsidR="00C65C3E">
        <w:rPr>
          <w:rFonts w:ascii="Aquawax Med" w:eastAsia="Times New Roman" w:hAnsi="Aquawax Med" w:cs="Verdana"/>
          <w:b/>
          <w:bCs/>
          <w:kern w:val="0"/>
          <w:sz w:val="24"/>
          <w:szCs w:val="20"/>
          <w:lang w:val="es-UY"/>
        </w:rPr>
        <w:t>Ó</w:t>
      </w:r>
      <w:r w:rsidRPr="006D5A96">
        <w:rPr>
          <w:rFonts w:ascii="Aquawax Med" w:eastAsia="Times New Roman" w:hAnsi="Aquawax Med" w:cs="Verdana"/>
          <w:b/>
          <w:bCs/>
          <w:kern w:val="0"/>
          <w:sz w:val="24"/>
          <w:szCs w:val="20"/>
          <w:lang w:val="es-UY"/>
        </w:rPr>
        <w:t>STICO</w:t>
      </w:r>
    </w:p>
    <w:p w:rsidR="00032B87" w:rsidRPr="006D5A96" w:rsidRDefault="006D5A96" w:rsidP="00D12BCD">
      <w:pPr>
        <w:widowControl w:val="0"/>
        <w:suppressAutoHyphens w:val="0"/>
        <w:spacing w:line="288" w:lineRule="auto"/>
        <w:ind w:right="3"/>
        <w:jc w:val="center"/>
        <w:rPr>
          <w:rFonts w:ascii="Aquawax Med" w:eastAsia="Times New Roman" w:hAnsi="Aquawax Med" w:cs="Verdana"/>
          <w:b/>
          <w:bCs/>
          <w:kern w:val="0"/>
          <w:sz w:val="24"/>
          <w:szCs w:val="20"/>
          <w:lang w:val="es-UY"/>
        </w:rPr>
      </w:pPr>
      <w:r w:rsidRPr="006D5A96">
        <w:rPr>
          <w:rFonts w:ascii="Aquawax Med" w:eastAsia="Times New Roman" w:hAnsi="Aquawax Med" w:cs="Verdana"/>
          <w:b/>
          <w:bCs/>
          <w:kern w:val="0"/>
          <w:sz w:val="24"/>
          <w:szCs w:val="20"/>
          <w:lang w:val="es-UY"/>
        </w:rPr>
        <w:t xml:space="preserve"> REGISTRO PRIMERA VEZ/RENOVACI</w:t>
      </w:r>
      <w:r w:rsidR="00C65C3E">
        <w:rPr>
          <w:rFonts w:ascii="Aquawax Med" w:eastAsia="Times New Roman" w:hAnsi="Aquawax Med" w:cs="Verdana"/>
          <w:b/>
          <w:bCs/>
          <w:kern w:val="0"/>
          <w:sz w:val="24"/>
          <w:szCs w:val="20"/>
          <w:lang w:val="es-UY"/>
        </w:rPr>
        <w:t>Ó</w:t>
      </w:r>
      <w:r w:rsidRPr="006D5A96">
        <w:rPr>
          <w:rFonts w:ascii="Aquawax Med" w:eastAsia="Times New Roman" w:hAnsi="Aquawax Med" w:cs="Verdana"/>
          <w:b/>
          <w:bCs/>
          <w:kern w:val="0"/>
          <w:sz w:val="24"/>
          <w:szCs w:val="20"/>
          <w:lang w:val="es-UY"/>
        </w:rPr>
        <w:t>N REACTIVOS</w:t>
      </w:r>
    </w:p>
    <w:p w:rsidR="00290D57" w:rsidRPr="006D5A96" w:rsidRDefault="00290D57" w:rsidP="00D12BCD">
      <w:pPr>
        <w:widowControl w:val="0"/>
        <w:suppressAutoHyphens w:val="0"/>
        <w:spacing w:line="288" w:lineRule="auto"/>
        <w:ind w:right="3"/>
        <w:rPr>
          <w:rFonts w:ascii="Aquawax" w:eastAsia="Times New Roman" w:hAnsi="Aquawax" w:cs="Verdana"/>
          <w:kern w:val="0"/>
          <w:sz w:val="20"/>
          <w:szCs w:val="20"/>
          <w:lang w:val="es-UY"/>
        </w:rPr>
      </w:pPr>
    </w:p>
    <w:tbl>
      <w:tblPr>
        <w:tblW w:w="56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9"/>
        <w:gridCol w:w="850"/>
        <w:gridCol w:w="850"/>
        <w:gridCol w:w="850"/>
        <w:gridCol w:w="850"/>
        <w:gridCol w:w="896"/>
      </w:tblGrid>
      <w:tr w:rsidR="00290D57" w:rsidRPr="00E105BA" w:rsidTr="00391826">
        <w:trPr>
          <w:trHeight w:val="300"/>
          <w:jc w:val="center"/>
        </w:trPr>
        <w:tc>
          <w:tcPr>
            <w:tcW w:w="3039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N</w:t>
            </w:r>
            <w:r w:rsidR="00D12BCD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.</w:t>
            </w:r>
            <w:r w:rsidRPr="00E105B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º de carpeta</w:t>
            </w:r>
          </w:p>
        </w:tc>
        <w:tc>
          <w:tcPr>
            <w:tcW w:w="1961" w:type="pct"/>
            <w:gridSpan w:val="5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</w:tr>
      <w:tr w:rsidR="00290D57" w:rsidRPr="00E105BA" w:rsidTr="00391826">
        <w:trPr>
          <w:trHeight w:val="300"/>
          <w:jc w:val="center"/>
        </w:trPr>
        <w:tc>
          <w:tcPr>
            <w:tcW w:w="3039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NUEVO</w:t>
            </w:r>
            <w:r w:rsidR="00C65C3E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/RENOVACIÓN</w:t>
            </w:r>
          </w:p>
        </w:tc>
        <w:tc>
          <w:tcPr>
            <w:tcW w:w="1961" w:type="pct"/>
            <w:gridSpan w:val="5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Cambria" w:eastAsia="Times New Roman" w:hAnsi="Cambria" w:cs="Cambri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</w:tr>
      <w:tr w:rsidR="00290D57" w:rsidRPr="00E105BA" w:rsidTr="00391826">
        <w:trPr>
          <w:trHeight w:val="300"/>
          <w:jc w:val="center"/>
        </w:trPr>
        <w:tc>
          <w:tcPr>
            <w:tcW w:w="3039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 xml:space="preserve">Fecha última de vencimiento </w:t>
            </w:r>
          </w:p>
        </w:tc>
        <w:tc>
          <w:tcPr>
            <w:tcW w:w="1961" w:type="pct"/>
            <w:gridSpan w:val="5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</w:tr>
      <w:tr w:rsidR="00290D57" w:rsidRPr="00E105BA" w:rsidTr="00391826">
        <w:trPr>
          <w:trHeight w:val="915"/>
          <w:jc w:val="center"/>
        </w:trPr>
        <w:tc>
          <w:tcPr>
            <w:tcW w:w="3039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Nombre del Producto:</w:t>
            </w:r>
          </w:p>
        </w:tc>
        <w:tc>
          <w:tcPr>
            <w:tcW w:w="1961" w:type="pct"/>
            <w:gridSpan w:val="5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</w:tr>
      <w:tr w:rsidR="00C65C3E" w:rsidRPr="00E105BA" w:rsidTr="00391826">
        <w:trPr>
          <w:trHeight w:val="660"/>
          <w:jc w:val="center"/>
        </w:trPr>
        <w:tc>
          <w:tcPr>
            <w:tcW w:w="3039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REQUISITOS DOCUMENTALES</w:t>
            </w:r>
          </w:p>
        </w:tc>
        <w:tc>
          <w:tcPr>
            <w:tcW w:w="388" w:type="pct"/>
            <w:shd w:val="clear" w:color="auto" w:fill="auto"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 xml:space="preserve">FOJA </w:t>
            </w:r>
            <w:proofErr w:type="spellStart"/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Prod</w:t>
            </w:r>
            <w:proofErr w:type="spellEnd"/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 xml:space="preserve"> 1</w:t>
            </w:r>
          </w:p>
        </w:tc>
        <w:tc>
          <w:tcPr>
            <w:tcW w:w="388" w:type="pct"/>
            <w:shd w:val="clear" w:color="auto" w:fill="auto"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 xml:space="preserve">FOJA </w:t>
            </w:r>
            <w:proofErr w:type="spellStart"/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Prod</w:t>
            </w:r>
            <w:proofErr w:type="spellEnd"/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 xml:space="preserve"> 2</w:t>
            </w:r>
          </w:p>
        </w:tc>
        <w:tc>
          <w:tcPr>
            <w:tcW w:w="388" w:type="pct"/>
            <w:shd w:val="clear" w:color="auto" w:fill="auto"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 xml:space="preserve">FOJA </w:t>
            </w:r>
            <w:proofErr w:type="spellStart"/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Prod</w:t>
            </w:r>
            <w:proofErr w:type="spellEnd"/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 xml:space="preserve"> 3</w:t>
            </w:r>
          </w:p>
        </w:tc>
        <w:tc>
          <w:tcPr>
            <w:tcW w:w="388" w:type="pct"/>
            <w:shd w:val="clear" w:color="auto" w:fill="auto"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 xml:space="preserve">FOJA </w:t>
            </w:r>
            <w:proofErr w:type="spellStart"/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Prod</w:t>
            </w:r>
            <w:proofErr w:type="spellEnd"/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 xml:space="preserve"> 4</w:t>
            </w:r>
          </w:p>
        </w:tc>
        <w:tc>
          <w:tcPr>
            <w:tcW w:w="408" w:type="pct"/>
            <w:shd w:val="clear" w:color="auto" w:fill="auto"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 xml:space="preserve">FOJA </w:t>
            </w:r>
            <w:proofErr w:type="spellStart"/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Prod</w:t>
            </w:r>
            <w:proofErr w:type="spellEnd"/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 xml:space="preserve"> 5</w:t>
            </w:r>
          </w:p>
        </w:tc>
      </w:tr>
      <w:tr w:rsidR="00C65C3E" w:rsidRPr="00E105BA" w:rsidTr="00391826">
        <w:trPr>
          <w:trHeight w:val="615"/>
          <w:jc w:val="center"/>
        </w:trPr>
        <w:tc>
          <w:tcPr>
            <w:tcW w:w="3039" w:type="pct"/>
            <w:shd w:val="clear" w:color="auto" w:fill="auto"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 xml:space="preserve">Copia del certificado de Habilitación de la empresa en referencia a los productos médicos a registrar 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</w:tr>
      <w:tr w:rsidR="00C65C3E" w:rsidRPr="00E105BA" w:rsidTr="00391826">
        <w:trPr>
          <w:trHeight w:val="510"/>
          <w:jc w:val="center"/>
        </w:trPr>
        <w:tc>
          <w:tcPr>
            <w:tcW w:w="3039" w:type="pct"/>
            <w:shd w:val="clear" w:color="auto" w:fill="auto"/>
            <w:noWrap/>
            <w:hideMark/>
          </w:tcPr>
          <w:p w:rsidR="00FB2E0F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 xml:space="preserve">Nota de solicitud de Registro de Producto (máx. 20 productos) </w:t>
            </w:r>
          </w:p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FO</w:t>
            </w:r>
            <w:r w:rsidR="00C65C3E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-</w:t>
            </w:r>
            <w:r w:rsidRPr="00E105B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13222-010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Cambria" w:eastAsia="Times New Roman" w:hAnsi="Cambria" w:cs="Cambri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</w:tr>
      <w:tr w:rsidR="00C65C3E" w:rsidRPr="00E105BA" w:rsidTr="00391826">
        <w:trPr>
          <w:trHeight w:val="510"/>
          <w:jc w:val="center"/>
        </w:trPr>
        <w:tc>
          <w:tcPr>
            <w:tcW w:w="3039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Formulario de registro del producto médico específico para reactivo. FO</w:t>
            </w:r>
            <w:r w:rsidR="00C65C3E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-</w:t>
            </w:r>
            <w:r w:rsidRPr="00E105B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13222-007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Cambria" w:eastAsia="Times New Roman" w:hAnsi="Cambria" w:cs="Cambri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</w:tr>
      <w:tr w:rsidR="00C65C3E" w:rsidRPr="00E105BA" w:rsidTr="00391826">
        <w:trPr>
          <w:trHeight w:val="300"/>
          <w:jc w:val="center"/>
        </w:trPr>
        <w:tc>
          <w:tcPr>
            <w:tcW w:w="3039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 xml:space="preserve">Certificado Libre de Venta (CLV) Apostillado 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</w:tr>
      <w:tr w:rsidR="00C65C3E" w:rsidRPr="00E105BA" w:rsidTr="00391826">
        <w:trPr>
          <w:trHeight w:val="374"/>
          <w:jc w:val="center"/>
        </w:trPr>
        <w:tc>
          <w:tcPr>
            <w:tcW w:w="3039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Certificados de Calidad de la fábrica de origen (ISO 13485)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</w:tr>
      <w:tr w:rsidR="00C65C3E" w:rsidRPr="00E105BA" w:rsidTr="00391826">
        <w:trPr>
          <w:trHeight w:val="300"/>
          <w:jc w:val="center"/>
        </w:trPr>
        <w:tc>
          <w:tcPr>
            <w:tcW w:w="3039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Uso pretendido del producto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</w:tr>
      <w:tr w:rsidR="00C65C3E" w:rsidRPr="00E105BA" w:rsidTr="00391826">
        <w:trPr>
          <w:trHeight w:val="300"/>
          <w:jc w:val="center"/>
        </w:trPr>
        <w:tc>
          <w:tcPr>
            <w:tcW w:w="3039" w:type="pct"/>
            <w:shd w:val="clear" w:color="auto" w:fill="auto"/>
            <w:hideMark/>
          </w:tcPr>
          <w:p w:rsidR="00290D57" w:rsidRPr="00E105BA" w:rsidRDefault="00FB2E0F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Inserto en español (</w:t>
            </w:r>
            <w:r w:rsidR="00290D57" w:rsidRPr="00E105B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 xml:space="preserve">Art. 16 </w:t>
            </w:r>
            <w:proofErr w:type="spellStart"/>
            <w:r w:rsidR="00290D57" w:rsidRPr="00E105B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dec</w:t>
            </w:r>
            <w:proofErr w:type="spellEnd"/>
            <w:r w:rsidR="00290D57" w:rsidRPr="00E105B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. 3/2008)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Cambria" w:eastAsia="Times New Roman" w:hAnsi="Cambria" w:cs="Cambri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</w:tr>
      <w:tr w:rsidR="00C65C3E" w:rsidRPr="00E105BA" w:rsidTr="00391826">
        <w:trPr>
          <w:trHeight w:val="300"/>
          <w:jc w:val="center"/>
        </w:trPr>
        <w:tc>
          <w:tcPr>
            <w:tcW w:w="3039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R</w:t>
            </w:r>
            <w:r w:rsidR="00391826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ó</w:t>
            </w:r>
            <w:r w:rsidRPr="00E105B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tulo de origen (</w:t>
            </w:r>
            <w:r w:rsidR="00FB2E0F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A</w:t>
            </w:r>
            <w:r w:rsidRPr="00E105B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 xml:space="preserve">rt. 15, </w:t>
            </w:r>
            <w:proofErr w:type="spellStart"/>
            <w:r w:rsidRPr="00E105B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dec</w:t>
            </w:r>
            <w:proofErr w:type="spellEnd"/>
            <w:r w:rsidRPr="00E105B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. 3/2008)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Cambria" w:eastAsia="Times New Roman" w:hAnsi="Cambria" w:cs="Cambri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</w:tr>
      <w:tr w:rsidR="00C65C3E" w:rsidRPr="00E105BA" w:rsidTr="00391826">
        <w:trPr>
          <w:trHeight w:val="300"/>
          <w:jc w:val="center"/>
        </w:trPr>
        <w:tc>
          <w:tcPr>
            <w:tcW w:w="3039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R</w:t>
            </w:r>
            <w:r w:rsidR="00391826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ó</w:t>
            </w:r>
            <w:r w:rsidRPr="00E105B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tulo local (</w:t>
            </w:r>
            <w:r w:rsidR="00FB2E0F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A</w:t>
            </w:r>
            <w:r w:rsidRPr="00E105B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 xml:space="preserve">rt. 15, </w:t>
            </w:r>
            <w:proofErr w:type="spellStart"/>
            <w:r w:rsidRPr="00E105B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dec</w:t>
            </w:r>
            <w:proofErr w:type="spellEnd"/>
            <w:r w:rsidRPr="00E105B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. 3/2008)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Cambria" w:eastAsia="Times New Roman" w:hAnsi="Cambria" w:cs="Cambri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</w:tr>
      <w:tr w:rsidR="00C65C3E" w:rsidRPr="00E105BA" w:rsidTr="00391826">
        <w:trPr>
          <w:trHeight w:val="330"/>
          <w:jc w:val="center"/>
        </w:trPr>
        <w:tc>
          <w:tcPr>
            <w:tcW w:w="3039" w:type="pct"/>
            <w:shd w:val="clear" w:color="auto" w:fill="auto"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Análisis del DLSP o BNS de acuerdo al producto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</w:tr>
      <w:tr w:rsidR="00C65C3E" w:rsidRPr="00E105BA" w:rsidTr="00391826">
        <w:trPr>
          <w:trHeight w:val="300"/>
          <w:jc w:val="center"/>
        </w:trPr>
        <w:tc>
          <w:tcPr>
            <w:tcW w:w="3039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 xml:space="preserve">Declaración Clase I FO-13222-011 </w:t>
            </w:r>
            <w:r w:rsidR="00FB2E0F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(</w:t>
            </w:r>
            <w:r w:rsidRPr="00E105B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si corresponde</w:t>
            </w:r>
            <w:r w:rsidR="00FB2E0F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)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Cambria" w:eastAsia="Times New Roman" w:hAnsi="Cambria" w:cs="Cambri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</w:tr>
      <w:tr w:rsidR="00C65C3E" w:rsidRPr="00E105BA" w:rsidTr="00391826">
        <w:trPr>
          <w:trHeight w:val="300"/>
          <w:jc w:val="center"/>
        </w:trPr>
        <w:tc>
          <w:tcPr>
            <w:tcW w:w="3039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Nota con contenido de CD o Pendrive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</w:tr>
      <w:tr w:rsidR="00C65C3E" w:rsidRPr="00E105BA" w:rsidTr="00391826">
        <w:trPr>
          <w:trHeight w:val="339"/>
          <w:jc w:val="center"/>
        </w:trPr>
        <w:tc>
          <w:tcPr>
            <w:tcW w:w="3039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Presentación de carpeta anterior (en caso de renovación)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</w:tr>
      <w:tr w:rsidR="00C65C3E" w:rsidRPr="00E105BA" w:rsidTr="00391826">
        <w:trPr>
          <w:trHeight w:val="600"/>
          <w:jc w:val="center"/>
        </w:trPr>
        <w:tc>
          <w:tcPr>
            <w:tcW w:w="3039" w:type="pct"/>
            <w:shd w:val="clear" w:color="auto" w:fill="auto"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Presentación de certificado de registro original emitido por MSP (en caso de renovación)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Cambria" w:eastAsia="Times New Roman" w:hAnsi="Cambria" w:cs="Cambri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290D57" w:rsidRPr="00E105BA" w:rsidRDefault="00290D57" w:rsidP="00D12BCD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E105B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</w:tr>
    </w:tbl>
    <w:p w:rsidR="00602F50" w:rsidRPr="006D5A96" w:rsidRDefault="00602F50" w:rsidP="00D12BCD">
      <w:pPr>
        <w:widowControl w:val="0"/>
        <w:suppressAutoHyphens w:val="0"/>
        <w:spacing w:line="288" w:lineRule="auto"/>
        <w:ind w:right="3"/>
        <w:rPr>
          <w:rFonts w:ascii="Aquawax" w:eastAsia="Times New Roman" w:hAnsi="Aquawax" w:cs="Verdana"/>
          <w:kern w:val="0"/>
          <w:sz w:val="20"/>
          <w:szCs w:val="20"/>
          <w:lang w:val="es-UY"/>
        </w:rPr>
      </w:pPr>
    </w:p>
    <w:p w:rsidR="00430EDD" w:rsidRPr="006D5A96" w:rsidRDefault="006D5A96" w:rsidP="00D12BCD">
      <w:pPr>
        <w:widowControl w:val="0"/>
        <w:suppressAutoHyphens w:val="0"/>
        <w:spacing w:line="288" w:lineRule="auto"/>
        <w:ind w:right="3"/>
        <w:rPr>
          <w:rFonts w:ascii="Aquawax" w:eastAsia="Times New Roman" w:hAnsi="Aquawax" w:cs="Verdana"/>
          <w:kern w:val="0"/>
          <w:szCs w:val="20"/>
          <w:lang w:val="es-UY"/>
        </w:rPr>
      </w:pPr>
      <w:r w:rsidRPr="006D5A96">
        <w:rPr>
          <w:rFonts w:ascii="Aquawax" w:eastAsia="Times New Roman" w:hAnsi="Aquawax" w:cs="Verdana"/>
          <w:b/>
          <w:kern w:val="0"/>
          <w:szCs w:val="20"/>
          <w:lang w:val="es-UY"/>
        </w:rPr>
        <w:t>Aclaración:</w:t>
      </w:r>
      <w:r w:rsidRPr="006D5A96">
        <w:rPr>
          <w:rFonts w:ascii="Aquawax" w:eastAsia="Times New Roman" w:hAnsi="Aquawax" w:cs="Verdana"/>
          <w:kern w:val="0"/>
          <w:szCs w:val="20"/>
          <w:lang w:val="es-UY"/>
        </w:rPr>
        <w:t xml:space="preserve"> si cuenta c</w:t>
      </w:r>
      <w:r w:rsidR="00C65C3E">
        <w:rPr>
          <w:rFonts w:ascii="Aquawax" w:eastAsia="Times New Roman" w:hAnsi="Aquawax" w:cs="Verdana"/>
          <w:kern w:val="0"/>
          <w:szCs w:val="20"/>
          <w:lang w:val="es-UY"/>
        </w:rPr>
        <w:t>on registro de Equipos reactivo-</w:t>
      </w:r>
      <w:r w:rsidRPr="006D5A96">
        <w:rPr>
          <w:rFonts w:ascii="Aquawax" w:eastAsia="Times New Roman" w:hAnsi="Aquawax" w:cs="Verdana"/>
          <w:kern w:val="0"/>
          <w:szCs w:val="20"/>
          <w:lang w:val="es-UY"/>
        </w:rPr>
        <w:t>dependientes</w:t>
      </w:r>
      <w:r w:rsidR="00C65C3E">
        <w:rPr>
          <w:rFonts w:ascii="Aquawax" w:eastAsia="Times New Roman" w:hAnsi="Aquawax" w:cs="Verdana"/>
          <w:kern w:val="0"/>
          <w:szCs w:val="20"/>
          <w:lang w:val="es-UY"/>
        </w:rPr>
        <w:t>,</w:t>
      </w:r>
      <w:r w:rsidRPr="006D5A96">
        <w:rPr>
          <w:rFonts w:ascii="Aquawax" w:eastAsia="Times New Roman" w:hAnsi="Aquawax" w:cs="Verdana"/>
          <w:kern w:val="0"/>
          <w:szCs w:val="20"/>
          <w:lang w:val="es-UY"/>
        </w:rPr>
        <w:t xml:space="preserve"> debe también adjuntar </w:t>
      </w:r>
      <w:r w:rsidR="00C65C3E">
        <w:rPr>
          <w:rFonts w:ascii="Aquawax" w:eastAsia="Times New Roman" w:hAnsi="Aquawax" w:cs="Verdana"/>
          <w:kern w:val="0"/>
          <w:szCs w:val="20"/>
          <w:lang w:val="es-UY"/>
        </w:rPr>
        <w:t>la lista de verificación</w:t>
      </w:r>
      <w:r w:rsidRPr="006D5A96">
        <w:rPr>
          <w:rFonts w:ascii="Aquawax" w:eastAsia="Times New Roman" w:hAnsi="Aquawax" w:cs="Verdana"/>
          <w:kern w:val="0"/>
          <w:szCs w:val="20"/>
          <w:lang w:val="es-UY"/>
        </w:rPr>
        <w:t xml:space="preserve"> de equipos</w:t>
      </w:r>
      <w:r>
        <w:rPr>
          <w:rFonts w:ascii="Aquawax" w:eastAsia="Times New Roman" w:hAnsi="Aquawax" w:cs="Verdana"/>
          <w:kern w:val="0"/>
          <w:szCs w:val="20"/>
          <w:lang w:val="es-UY"/>
        </w:rPr>
        <w:t>.</w:t>
      </w:r>
    </w:p>
    <w:sectPr w:rsidR="00430EDD" w:rsidRPr="006D5A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CAF" w:rsidRDefault="000E6CAF">
      <w:r>
        <w:separator/>
      </w:r>
    </w:p>
  </w:endnote>
  <w:endnote w:type="continuationSeparator" w:id="0">
    <w:p w:rsidR="000E6CAF" w:rsidRDefault="000E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quawax Med">
    <w:altName w:val="Corbel"/>
    <w:charset w:val="00"/>
    <w:family w:val="auto"/>
    <w:pitch w:val="variable"/>
    <w:sig w:usb0="00000001" w:usb1="5000204A" w:usb2="00000000" w:usb3="00000000" w:csb0="00000093" w:csb1="00000000"/>
  </w:font>
  <w:font w:name="Aquawax">
    <w:altName w:val="Corbel"/>
    <w:charset w:val="00"/>
    <w:family w:val="auto"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945" w:rsidRDefault="006A594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3E" w:rsidRDefault="00C65C3E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945" w:rsidRDefault="006A59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CAF" w:rsidRDefault="000E6CAF">
      <w:r>
        <w:separator/>
      </w:r>
    </w:p>
  </w:footnote>
  <w:footnote w:type="continuationSeparator" w:id="0">
    <w:p w:rsidR="000E6CAF" w:rsidRDefault="000E6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945" w:rsidRDefault="006A594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5"/>
      <w:gridCol w:w="5105"/>
      <w:gridCol w:w="2565"/>
    </w:tblGrid>
    <w:tr w:rsidR="00B84690" w:rsidTr="000F2338">
      <w:trPr>
        <w:trHeight w:val="880"/>
      </w:trPr>
      <w:tc>
        <w:tcPr>
          <w:tcW w:w="21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84690" w:rsidRDefault="00FB2E0F" w:rsidP="000F2338">
          <w:pPr>
            <w:keepNext/>
            <w:spacing w:before="120" w:after="120" w:line="288" w:lineRule="auto"/>
            <w:jc w:val="center"/>
            <w:rPr>
              <w:rFonts w:ascii="Verdana" w:hAnsi="Verdana" w:cs="Verdana"/>
              <w:b/>
              <w:sz w:val="20"/>
              <w:szCs w:val="20"/>
              <w:lang w:val="es-UY"/>
            </w:rPr>
          </w:pPr>
          <w:r>
            <w:rPr>
              <w:rFonts w:ascii="Verdana" w:hAnsi="Verdana" w:cs="Verdana"/>
              <w:b/>
              <w:noProof/>
              <w:sz w:val="20"/>
              <w:szCs w:val="20"/>
              <w:lang w:val="es-UY" w:eastAsia="es-UY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87630</wp:posOffset>
                </wp:positionH>
                <wp:positionV relativeFrom="paragraph">
                  <wp:posOffset>-181610</wp:posOffset>
                </wp:positionV>
                <wp:extent cx="1111250" cy="1182370"/>
                <wp:effectExtent l="0" t="0" r="0" b="0"/>
                <wp:wrapThrough wrapText="bothSides">
                  <wp:wrapPolygon edited="0">
                    <wp:start x="9627" y="2088"/>
                    <wp:lineTo x="7406" y="5220"/>
                    <wp:lineTo x="6295" y="7308"/>
                    <wp:lineTo x="6665" y="9048"/>
                    <wp:lineTo x="8517" y="11484"/>
                    <wp:lineTo x="10738" y="13921"/>
                    <wp:lineTo x="5925" y="14617"/>
                    <wp:lineTo x="1481" y="16705"/>
                    <wp:lineTo x="1851" y="19141"/>
                    <wp:lineTo x="19625" y="19141"/>
                    <wp:lineTo x="19995" y="17401"/>
                    <wp:lineTo x="14811" y="14965"/>
                    <wp:lineTo x="11479" y="13921"/>
                    <wp:lineTo x="14441" y="9396"/>
                    <wp:lineTo x="15182" y="8004"/>
                    <wp:lineTo x="13330" y="4872"/>
                    <wp:lineTo x="11479" y="2088"/>
                    <wp:lineTo x="9627" y="2088"/>
                  </wp:wrapPolygon>
                </wp:wrapThrough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118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84690" w:rsidRPr="0052060C" w:rsidRDefault="00B84690" w:rsidP="00C65C3E">
          <w:pPr>
            <w:spacing w:before="120" w:after="120" w:line="288" w:lineRule="auto"/>
            <w:jc w:val="center"/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</w:pPr>
          <w:r w:rsidRPr="0052060C"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  <w:t>Di</w:t>
          </w:r>
          <w:r w:rsidR="00AE2FE3"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  <w:t>vis</w:t>
          </w:r>
          <w:r w:rsidRPr="0052060C"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  <w:t xml:space="preserve">ión </w:t>
          </w:r>
          <w:r w:rsidR="00C65C3E"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  <w:t>Evaluación Sanitaria</w:t>
          </w:r>
        </w:p>
        <w:p w:rsidR="00B84690" w:rsidRPr="0052060C" w:rsidRDefault="00B84690" w:rsidP="00C65C3E">
          <w:pPr>
            <w:spacing w:before="120" w:after="120" w:line="288" w:lineRule="auto"/>
            <w:jc w:val="center"/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</w:pPr>
          <w:r w:rsidRPr="0052060C"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  <w:t xml:space="preserve">Departamento de </w:t>
          </w:r>
          <w:r w:rsidR="007C123B"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  <w:t>Evaluación de Tecnología</w:t>
          </w:r>
        </w:p>
        <w:p w:rsidR="006D5A96" w:rsidRPr="006D5A96" w:rsidRDefault="00B84690" w:rsidP="00AE2FE3">
          <w:pPr>
            <w:keepNext/>
            <w:spacing w:before="120" w:after="120" w:line="288" w:lineRule="auto"/>
            <w:jc w:val="center"/>
            <w:rPr>
              <w:rFonts w:ascii="Aquawax" w:eastAsia="Times New Roman" w:hAnsi="Aquawax" w:cs="Verdana"/>
              <w:kern w:val="0"/>
              <w:sz w:val="20"/>
              <w:szCs w:val="20"/>
              <w:lang w:val="es-UY"/>
            </w:rPr>
          </w:pPr>
          <w:r w:rsidRPr="0052060C">
            <w:rPr>
              <w:rFonts w:ascii="Aquawax" w:eastAsia="Times New Roman" w:hAnsi="Aquawax" w:cs="Verdana"/>
              <w:kern w:val="0"/>
              <w:sz w:val="20"/>
              <w:szCs w:val="20"/>
              <w:lang w:val="es-UY"/>
            </w:rPr>
            <w:t xml:space="preserve">Lista </w:t>
          </w:r>
          <w:r w:rsidR="00AE2FE3">
            <w:rPr>
              <w:rFonts w:ascii="Aquawax" w:eastAsia="Times New Roman" w:hAnsi="Aquawax" w:cs="Verdana"/>
              <w:kern w:val="0"/>
              <w:sz w:val="20"/>
              <w:szCs w:val="20"/>
              <w:lang w:val="es-UY"/>
            </w:rPr>
            <w:t>de V</w:t>
          </w:r>
          <w:r w:rsidRPr="0052060C">
            <w:rPr>
              <w:rFonts w:ascii="Aquawax" w:eastAsia="Times New Roman" w:hAnsi="Aquawax" w:cs="Verdana"/>
              <w:kern w:val="0"/>
              <w:sz w:val="20"/>
              <w:szCs w:val="20"/>
              <w:lang w:val="es-UY"/>
            </w:rPr>
            <w:t xml:space="preserve">erificación para solicitud de registro de </w:t>
          </w:r>
          <w:r w:rsidR="006D5A96">
            <w:rPr>
              <w:rFonts w:ascii="Aquawax" w:eastAsia="Times New Roman" w:hAnsi="Aquawax" w:cs="Verdana"/>
              <w:kern w:val="0"/>
              <w:sz w:val="20"/>
              <w:szCs w:val="20"/>
              <w:lang w:val="es-UY"/>
            </w:rPr>
            <w:t>Reactivos de Diagn</w:t>
          </w:r>
          <w:r w:rsidR="006A5945">
            <w:rPr>
              <w:rFonts w:ascii="Aquawax" w:eastAsia="Times New Roman" w:hAnsi="Aquawax" w:cs="Verdana"/>
              <w:kern w:val="0"/>
              <w:sz w:val="20"/>
              <w:szCs w:val="20"/>
              <w:lang w:val="es-UY"/>
            </w:rPr>
            <w:t>ó</w:t>
          </w:r>
          <w:r w:rsidR="006D5A96">
            <w:rPr>
              <w:rFonts w:ascii="Aquawax" w:eastAsia="Times New Roman" w:hAnsi="Aquawax" w:cs="Verdana"/>
              <w:kern w:val="0"/>
              <w:sz w:val="20"/>
              <w:szCs w:val="20"/>
              <w:lang w:val="es-UY"/>
            </w:rPr>
            <w:t>stico</w:t>
          </w:r>
        </w:p>
      </w:tc>
      <w:tc>
        <w:tcPr>
          <w:tcW w:w="2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84690" w:rsidRPr="0052060C" w:rsidRDefault="00AE2FE3" w:rsidP="00C65C3E">
          <w:pPr>
            <w:pStyle w:val="NormalWeb"/>
            <w:keepNext/>
            <w:spacing w:before="120" w:beforeAutospacing="0" w:after="120" w:line="288" w:lineRule="auto"/>
            <w:jc w:val="center"/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</w:pPr>
          <w:r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LV-</w:t>
          </w:r>
          <w:r w:rsidR="00B84690"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13223-0</w:t>
          </w:r>
          <w:r w:rsidR="00C65C3E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04</w:t>
          </w:r>
        </w:p>
        <w:p w:rsidR="00B84690" w:rsidRPr="0052060C" w:rsidRDefault="00B84690" w:rsidP="00C65C3E">
          <w:pPr>
            <w:pStyle w:val="NormalWeb"/>
            <w:keepNext/>
            <w:spacing w:before="120" w:beforeAutospacing="0" w:after="120" w:line="288" w:lineRule="auto"/>
            <w:jc w:val="center"/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</w:pPr>
          <w:r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Versión 1</w:t>
          </w:r>
        </w:p>
      </w:tc>
    </w:tr>
    <w:tr w:rsidR="00B84690">
      <w:trPr>
        <w:trHeight w:val="921"/>
      </w:trPr>
      <w:tc>
        <w:tcPr>
          <w:tcW w:w="21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84690" w:rsidRDefault="00B84690" w:rsidP="00C65C3E">
          <w:pPr>
            <w:spacing w:before="120" w:after="120" w:line="288" w:lineRule="auto"/>
          </w:pPr>
        </w:p>
      </w:tc>
      <w:tc>
        <w:tcPr>
          <w:tcW w:w="51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84690" w:rsidRPr="0052060C" w:rsidRDefault="00B84690" w:rsidP="00C65C3E">
          <w:pPr>
            <w:pStyle w:val="NormalWeb"/>
            <w:keepNext/>
            <w:spacing w:before="120" w:beforeAutospacing="0" w:after="120" w:line="288" w:lineRule="auto"/>
            <w:jc w:val="center"/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</w:pPr>
        </w:p>
      </w:tc>
      <w:tc>
        <w:tcPr>
          <w:tcW w:w="2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84690" w:rsidRPr="0052060C" w:rsidRDefault="00B84690" w:rsidP="00C65C3E">
          <w:pPr>
            <w:pStyle w:val="NormalWeb"/>
            <w:keepNext/>
            <w:spacing w:before="120" w:beforeAutospacing="0" w:after="120" w:line="288" w:lineRule="auto"/>
            <w:jc w:val="center"/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</w:pPr>
          <w:r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 xml:space="preserve">Página </w:t>
          </w:r>
          <w:r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begin"/>
          </w:r>
          <w:r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instrText xml:space="preserve"> PAGE </w:instrText>
          </w:r>
          <w:r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separate"/>
          </w:r>
          <w:r w:rsidR="00DE621B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1</w:t>
          </w:r>
          <w:r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end"/>
          </w:r>
          <w:r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 xml:space="preserve"> de </w:t>
          </w:r>
          <w:r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begin"/>
          </w:r>
          <w:r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instrText xml:space="preserve"> NUMPAGES \*Arabic </w:instrText>
          </w:r>
          <w:r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separate"/>
          </w:r>
          <w:r w:rsidR="00DE621B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1</w:t>
          </w:r>
          <w:r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end"/>
          </w:r>
        </w:p>
      </w:tc>
    </w:tr>
  </w:tbl>
  <w:p w:rsidR="00B84690" w:rsidRDefault="00B8469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945" w:rsidRDefault="006A59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s-UY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49"/>
    <w:rsid w:val="00032B87"/>
    <w:rsid w:val="000E6CAF"/>
    <w:rsid w:val="000F2338"/>
    <w:rsid w:val="00112333"/>
    <w:rsid w:val="001B0C3A"/>
    <w:rsid w:val="00290D57"/>
    <w:rsid w:val="00391826"/>
    <w:rsid w:val="00430C42"/>
    <w:rsid w:val="00430EDD"/>
    <w:rsid w:val="00453884"/>
    <w:rsid w:val="00460253"/>
    <w:rsid w:val="0052060C"/>
    <w:rsid w:val="00527436"/>
    <w:rsid w:val="005E534F"/>
    <w:rsid w:val="00602F50"/>
    <w:rsid w:val="006A5945"/>
    <w:rsid w:val="006B44FC"/>
    <w:rsid w:val="006D5A96"/>
    <w:rsid w:val="007066E0"/>
    <w:rsid w:val="007C123B"/>
    <w:rsid w:val="008030E7"/>
    <w:rsid w:val="008C0549"/>
    <w:rsid w:val="008E0777"/>
    <w:rsid w:val="008E7B79"/>
    <w:rsid w:val="009833CB"/>
    <w:rsid w:val="00A27E17"/>
    <w:rsid w:val="00A44F0C"/>
    <w:rsid w:val="00A552A3"/>
    <w:rsid w:val="00A82D64"/>
    <w:rsid w:val="00AE2FE3"/>
    <w:rsid w:val="00B84690"/>
    <w:rsid w:val="00BF33A9"/>
    <w:rsid w:val="00C17046"/>
    <w:rsid w:val="00C33FF2"/>
    <w:rsid w:val="00C3469A"/>
    <w:rsid w:val="00C65C3E"/>
    <w:rsid w:val="00D12BCD"/>
    <w:rsid w:val="00DE621B"/>
    <w:rsid w:val="00E105BA"/>
    <w:rsid w:val="00E708CD"/>
    <w:rsid w:val="00E95402"/>
    <w:rsid w:val="00EA0CC8"/>
    <w:rsid w:val="00FA1B93"/>
    <w:rsid w:val="00FB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chartTrackingRefBased/>
  <w15:docId w15:val="{11EBA9CD-2DD3-4F99-BDBA-5D9C1D66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SimSun" w:hAnsi="Calibri" w:cs="Calibri"/>
      <w:kern w:val="1"/>
      <w:sz w:val="22"/>
      <w:szCs w:val="22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Fuentedeprrafopredeter2">
    <w:name w:val="Fuente de párrafo predeter.2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Pr>
      <w:rFonts w:ascii="Calibri" w:eastAsia="SimSun" w:hAnsi="Calibri" w:cs="Calibri"/>
      <w:kern w:val="1"/>
      <w:sz w:val="22"/>
      <w:szCs w:val="22"/>
      <w:lang w:val="en-US"/>
    </w:rPr>
  </w:style>
  <w:style w:type="character" w:customStyle="1" w:styleId="PiedepginaCar">
    <w:name w:val="Pie de página Car"/>
    <w:rPr>
      <w:rFonts w:ascii="Calibri" w:eastAsia="SimSun" w:hAnsi="Calibri" w:cs="Calibri"/>
      <w:kern w:val="1"/>
      <w:sz w:val="22"/>
      <w:szCs w:val="22"/>
      <w:lang w:val="en-US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before="69"/>
      <w:ind w:left="262"/>
    </w:pPr>
    <w:rPr>
      <w:rFonts w:ascii="Arial" w:eastAsia="Arial" w:hAnsi="Arial" w:cs="Arial"/>
      <w:sz w:val="24"/>
      <w:szCs w:val="24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rrafodelista1">
    <w:name w:val="Párrafo de lista1"/>
    <w:basedOn w:val="Normal"/>
  </w:style>
  <w:style w:type="paragraph" w:customStyle="1" w:styleId="TableParagraph">
    <w:name w:val="Table Paragraph"/>
    <w:basedOn w:val="Normal"/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NormalWeb">
    <w:name w:val="Normal (Web)"/>
    <w:basedOn w:val="Normal"/>
    <w:rsid w:val="008C0549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character" w:styleId="Hipervnculo">
    <w:name w:val="Hyperlink"/>
    <w:rsid w:val="00527436"/>
    <w:rPr>
      <w:color w:val="0000FF"/>
      <w:u w:val="single"/>
    </w:rPr>
  </w:style>
  <w:style w:type="table" w:styleId="Tablaconcuadrcula">
    <w:name w:val="Table Grid"/>
    <w:basedOn w:val="Tablanormal"/>
    <w:rsid w:val="007C1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PRODUCTO:</vt:lpstr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PRODUCTO:</dc:title>
  <dc:subject/>
  <dc:creator>Karina Cuadra</dc:creator>
  <cp:keywords/>
  <cp:lastModifiedBy>Carolina Ramilo</cp:lastModifiedBy>
  <cp:revision>9</cp:revision>
  <cp:lastPrinted>2019-06-21T18:50:00Z</cp:lastPrinted>
  <dcterms:created xsi:type="dcterms:W3CDTF">2020-09-04T18:49:00Z</dcterms:created>
  <dcterms:modified xsi:type="dcterms:W3CDTF">2020-10-14T15:17:00Z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