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71" w:rsidRDefault="006E2171" w:rsidP="006E2171">
      <w:pPr>
        <w:adjustRightInd w:val="0"/>
        <w:jc w:val="right"/>
        <w:rPr>
          <w:rFonts w:ascii="Verdana" w:hAnsi="Verdana" w:cs="Arial"/>
          <w:color w:val="000000"/>
          <w:lang w:val="es-UY" w:eastAsia="es-UY"/>
        </w:rPr>
      </w:pPr>
      <w:bookmarkStart w:id="0" w:name="_GoBack"/>
      <w:bookmarkEnd w:id="0"/>
    </w:p>
    <w:p w:rsidR="005D76A3" w:rsidRDefault="005D76A3" w:rsidP="006E2171">
      <w:pPr>
        <w:adjustRightInd w:val="0"/>
        <w:jc w:val="right"/>
        <w:rPr>
          <w:rFonts w:ascii="Verdana" w:hAnsi="Verdana" w:cs="Arial"/>
          <w:color w:val="000000"/>
          <w:lang w:val="es-UY" w:eastAsia="es-UY"/>
        </w:rPr>
      </w:pPr>
    </w:p>
    <w:p w:rsidR="00916AA5" w:rsidRPr="008C49D1" w:rsidRDefault="00916AA5" w:rsidP="00916AA5">
      <w:pPr>
        <w:adjustRightInd w:val="0"/>
        <w:jc w:val="both"/>
        <w:rPr>
          <w:rFonts w:ascii="Open Sans" w:hAnsi="Open Sans" w:cs="Open Sans"/>
          <w:b/>
          <w:color w:val="000000"/>
          <w:sz w:val="22"/>
          <w:lang w:val="es-UY" w:eastAsia="es-UY"/>
        </w:rPr>
      </w:pPr>
      <w:r w:rsidRPr="008C49D1">
        <w:rPr>
          <w:rFonts w:ascii="Open Sans" w:hAnsi="Open Sans" w:cs="Open Sans"/>
          <w:b/>
          <w:color w:val="000000"/>
          <w:sz w:val="22"/>
          <w:lang w:val="es-UY" w:eastAsia="es-UY"/>
        </w:rPr>
        <w:t>Protocolo de Preparación de Pacientes que recibirán Medio de Contraste</w:t>
      </w:r>
    </w:p>
    <w:p w:rsidR="00916AA5" w:rsidRPr="008C49D1" w:rsidRDefault="00916AA5" w:rsidP="00916AA5">
      <w:pPr>
        <w:adjustRightInd w:val="0"/>
        <w:jc w:val="both"/>
        <w:rPr>
          <w:rFonts w:ascii="Open Sans" w:hAnsi="Open Sans" w:cs="Open Sans"/>
          <w:color w:val="000000"/>
          <w:lang w:val="es-UY" w:eastAsia="es-UY"/>
        </w:rPr>
      </w:pPr>
    </w:p>
    <w:p w:rsidR="007E042C" w:rsidRPr="008C49D1" w:rsidRDefault="007E042C" w:rsidP="00916AA5">
      <w:pPr>
        <w:adjustRightInd w:val="0"/>
        <w:jc w:val="both"/>
        <w:rPr>
          <w:rFonts w:ascii="Open Sans" w:hAnsi="Open Sans" w:cs="Open Sans"/>
          <w:color w:val="000000"/>
          <w:lang w:val="es-UY" w:eastAsia="es-UY"/>
        </w:rPr>
      </w:pPr>
    </w:p>
    <w:p w:rsidR="00916AA5" w:rsidRPr="008C49D1" w:rsidRDefault="00916AA5" w:rsidP="00916AA5">
      <w:pPr>
        <w:adjustRightInd w:val="0"/>
        <w:jc w:val="both"/>
        <w:rPr>
          <w:rFonts w:ascii="Open Sans" w:hAnsi="Open Sans" w:cs="Open Sans"/>
          <w:color w:val="000000"/>
          <w:lang w:val="es-UY" w:eastAsia="es-UY"/>
        </w:rPr>
      </w:pPr>
      <w:r w:rsidRPr="008C49D1">
        <w:rPr>
          <w:rFonts w:ascii="Open Sans" w:hAnsi="Open Sans" w:cs="Open Sans"/>
          <w:color w:val="000000"/>
          <w:lang w:val="es-UY" w:eastAsia="es-UY"/>
        </w:rPr>
        <w:t>Los medios de contraste son sustancias externas que administradas al organismo pueden provocar una variedad de reacciones adversas que van desde leves hasta muy graves y fatales.</w:t>
      </w:r>
    </w:p>
    <w:p w:rsidR="00916AA5" w:rsidRPr="008C49D1" w:rsidRDefault="00916AA5" w:rsidP="00916AA5">
      <w:pPr>
        <w:adjustRightInd w:val="0"/>
        <w:jc w:val="both"/>
        <w:rPr>
          <w:rFonts w:ascii="Open Sans" w:hAnsi="Open Sans" w:cs="Open Sans"/>
          <w:color w:val="000000"/>
          <w:lang w:val="es-UY" w:eastAsia="es-UY"/>
        </w:rPr>
      </w:pPr>
      <w:r w:rsidRPr="008C49D1">
        <w:rPr>
          <w:rFonts w:ascii="Open Sans" w:hAnsi="Open Sans" w:cs="Open Sans"/>
          <w:color w:val="000000"/>
          <w:lang w:val="es-UY" w:eastAsia="es-UY"/>
        </w:rPr>
        <w:t>En caso de que el estudio que indica esté  adecuadamente justificado, y no puede ser sustituido por otro método imagenológico que no requiera la utilización de contraste, solicitamos complete el siguiente protocolo.</w:t>
      </w:r>
    </w:p>
    <w:p w:rsidR="00916AA5" w:rsidRPr="008C49D1" w:rsidRDefault="00916AA5" w:rsidP="006E2171">
      <w:pPr>
        <w:adjustRightInd w:val="0"/>
        <w:jc w:val="right"/>
        <w:rPr>
          <w:rFonts w:ascii="Open Sans" w:hAnsi="Open Sans" w:cs="Open Sans"/>
          <w:color w:val="000000"/>
          <w:lang w:val="es-UY" w:eastAsia="es-U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9"/>
        <w:gridCol w:w="612"/>
        <w:gridCol w:w="610"/>
        <w:gridCol w:w="295"/>
        <w:gridCol w:w="282"/>
        <w:gridCol w:w="19"/>
        <w:gridCol w:w="550"/>
        <w:gridCol w:w="47"/>
        <w:gridCol w:w="95"/>
        <w:gridCol w:w="420"/>
        <w:gridCol w:w="569"/>
        <w:gridCol w:w="1340"/>
        <w:gridCol w:w="616"/>
        <w:gridCol w:w="12"/>
        <w:gridCol w:w="604"/>
        <w:gridCol w:w="23"/>
        <w:gridCol w:w="592"/>
        <w:gridCol w:w="35"/>
        <w:gridCol w:w="573"/>
      </w:tblGrid>
      <w:tr w:rsidR="000B09DE" w:rsidRPr="008C49D1" w:rsidTr="00A73A15">
        <w:tc>
          <w:tcPr>
            <w:tcW w:w="5000" w:type="pct"/>
            <w:gridSpan w:val="19"/>
            <w:shd w:val="clear" w:color="auto" w:fill="B8CCE4"/>
          </w:tcPr>
          <w:p w:rsidR="000B09DE" w:rsidRPr="008C49D1" w:rsidRDefault="007E042C" w:rsidP="00540EE0">
            <w:pPr>
              <w:numPr>
                <w:ilvl w:val="0"/>
                <w:numId w:val="18"/>
              </w:numPr>
              <w:spacing w:before="120"/>
              <w:rPr>
                <w:rFonts w:ascii="Open Sans" w:hAnsi="Open Sans" w:cs="Open Sans"/>
                <w:b/>
                <w:bCs/>
                <w:iCs/>
              </w:rPr>
            </w:pPr>
            <w:r w:rsidRPr="008C49D1">
              <w:rPr>
                <w:rFonts w:ascii="Open Sans" w:hAnsi="Open Sans" w:cs="Open Sans"/>
                <w:b/>
                <w:bCs/>
                <w:iCs/>
              </w:rPr>
              <w:t>Datos del Paciente</w:t>
            </w:r>
          </w:p>
        </w:tc>
      </w:tr>
      <w:tr w:rsidR="00464F40" w:rsidRPr="008C49D1" w:rsidTr="00464F40">
        <w:tc>
          <w:tcPr>
            <w:tcW w:w="5000" w:type="pct"/>
            <w:gridSpan w:val="19"/>
            <w:shd w:val="clear" w:color="auto" w:fill="auto"/>
          </w:tcPr>
          <w:p w:rsidR="00464F40" w:rsidRPr="008C49D1" w:rsidRDefault="00916AA5" w:rsidP="00540EE0">
            <w:pPr>
              <w:widowControl w:val="0"/>
              <w:adjustRightInd w:val="0"/>
              <w:spacing w:before="120"/>
              <w:ind w:left="380"/>
              <w:rPr>
                <w:rFonts w:ascii="Open Sans" w:hAnsi="Open Sans" w:cs="Open Sans"/>
                <w:lang w:val="es-UY" w:eastAsia="es-UY"/>
              </w:rPr>
            </w:pPr>
            <w:r w:rsidRPr="008C49D1">
              <w:rPr>
                <w:rFonts w:ascii="Open Sans" w:hAnsi="Open Sans" w:cs="Open Sans"/>
                <w:lang w:val="es-UY" w:eastAsia="es-UY"/>
              </w:rPr>
              <w:t xml:space="preserve">                        Fecha                                                N</w:t>
            </w:r>
            <w:r w:rsidR="00064D8C" w:rsidRPr="008C49D1">
              <w:rPr>
                <w:rFonts w:ascii="Open Sans" w:hAnsi="Open Sans" w:cs="Open Sans"/>
                <w:lang w:val="es-UY" w:eastAsia="es-UY"/>
              </w:rPr>
              <w:t>º R</w:t>
            </w:r>
            <w:r w:rsidRPr="008C49D1">
              <w:rPr>
                <w:rFonts w:ascii="Open Sans" w:hAnsi="Open Sans" w:cs="Open Sans"/>
                <w:lang w:val="es-UY" w:eastAsia="es-UY"/>
              </w:rPr>
              <w:t>egistro</w:t>
            </w:r>
          </w:p>
        </w:tc>
      </w:tr>
      <w:tr w:rsidR="00916AA5" w:rsidRPr="008C49D1" w:rsidTr="007E042C">
        <w:tc>
          <w:tcPr>
            <w:tcW w:w="2537" w:type="pct"/>
            <w:gridSpan w:val="9"/>
            <w:shd w:val="clear" w:color="auto" w:fill="auto"/>
          </w:tcPr>
          <w:p w:rsidR="00916AA5" w:rsidRPr="008C49D1" w:rsidRDefault="00916AA5" w:rsidP="00540EE0">
            <w:pPr>
              <w:spacing w:before="120"/>
              <w:rPr>
                <w:rFonts w:ascii="Open Sans" w:hAnsi="Open Sans" w:cs="Open Sans"/>
                <w:b/>
                <w:bCs/>
                <w:iCs/>
              </w:rPr>
            </w:pPr>
          </w:p>
        </w:tc>
        <w:tc>
          <w:tcPr>
            <w:tcW w:w="2463" w:type="pct"/>
            <w:gridSpan w:val="10"/>
            <w:shd w:val="clear" w:color="auto" w:fill="auto"/>
          </w:tcPr>
          <w:p w:rsidR="00916AA5" w:rsidRPr="008C49D1" w:rsidRDefault="00916AA5" w:rsidP="00540EE0">
            <w:pPr>
              <w:spacing w:before="120"/>
              <w:rPr>
                <w:rFonts w:ascii="Open Sans" w:hAnsi="Open Sans" w:cs="Open Sans"/>
                <w:bCs/>
                <w:iCs/>
              </w:rPr>
            </w:pPr>
          </w:p>
        </w:tc>
      </w:tr>
      <w:tr w:rsidR="00916AA5" w:rsidRPr="008C49D1" w:rsidTr="00916AA5">
        <w:tc>
          <w:tcPr>
            <w:tcW w:w="5000" w:type="pct"/>
            <w:gridSpan w:val="19"/>
            <w:shd w:val="clear" w:color="auto" w:fill="auto"/>
          </w:tcPr>
          <w:p w:rsidR="00916AA5" w:rsidRPr="008C49D1" w:rsidRDefault="00916AA5" w:rsidP="00540EE0">
            <w:pPr>
              <w:widowControl w:val="0"/>
              <w:adjustRightInd w:val="0"/>
              <w:spacing w:before="120"/>
              <w:ind w:left="380"/>
              <w:rPr>
                <w:rFonts w:ascii="Open Sans" w:hAnsi="Open Sans" w:cs="Open Sans"/>
                <w:bCs/>
                <w:iCs/>
              </w:rPr>
            </w:pPr>
            <w:r w:rsidRPr="008C49D1">
              <w:rPr>
                <w:rFonts w:ascii="Open Sans" w:hAnsi="Open Sans" w:cs="Open Sans"/>
                <w:lang w:val="es-UY" w:eastAsia="es-UY"/>
              </w:rPr>
              <w:t xml:space="preserve">                       Nombre                                                Apellido</w:t>
            </w:r>
          </w:p>
        </w:tc>
      </w:tr>
      <w:tr w:rsidR="007E042C" w:rsidRPr="008C49D1" w:rsidTr="007E042C">
        <w:trPr>
          <w:trHeight w:val="240"/>
        </w:trPr>
        <w:tc>
          <w:tcPr>
            <w:tcW w:w="2537" w:type="pct"/>
            <w:gridSpan w:val="9"/>
            <w:shd w:val="clear" w:color="auto" w:fill="auto"/>
          </w:tcPr>
          <w:p w:rsidR="007E042C" w:rsidRPr="008C49D1" w:rsidRDefault="007E042C" w:rsidP="00540EE0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</w:rPr>
            </w:pPr>
          </w:p>
        </w:tc>
        <w:tc>
          <w:tcPr>
            <w:tcW w:w="2463" w:type="pct"/>
            <w:gridSpan w:val="10"/>
            <w:shd w:val="clear" w:color="auto" w:fill="auto"/>
          </w:tcPr>
          <w:p w:rsidR="007E042C" w:rsidRPr="008C49D1" w:rsidRDefault="007E042C" w:rsidP="00540EE0">
            <w:pPr>
              <w:spacing w:before="120"/>
              <w:jc w:val="center"/>
              <w:rPr>
                <w:rFonts w:ascii="Open Sans" w:hAnsi="Open Sans" w:cs="Open Sans"/>
                <w:b/>
                <w:bCs/>
                <w:iCs/>
              </w:rPr>
            </w:pPr>
          </w:p>
        </w:tc>
      </w:tr>
      <w:tr w:rsidR="00916AA5" w:rsidRPr="008C49D1" w:rsidTr="00916AA5">
        <w:trPr>
          <w:trHeight w:val="240"/>
        </w:trPr>
        <w:tc>
          <w:tcPr>
            <w:tcW w:w="5000" w:type="pct"/>
            <w:gridSpan w:val="19"/>
            <w:shd w:val="clear" w:color="auto" w:fill="auto"/>
          </w:tcPr>
          <w:p w:rsidR="00916AA5" w:rsidRPr="008C49D1" w:rsidRDefault="00916AA5" w:rsidP="00540EE0">
            <w:pPr>
              <w:spacing w:before="120"/>
              <w:rPr>
                <w:rFonts w:ascii="Open Sans" w:hAnsi="Open Sans" w:cs="Open Sans"/>
                <w:lang w:val="es-UY" w:eastAsia="es-UY"/>
              </w:rPr>
            </w:pPr>
            <w:r w:rsidRPr="008C49D1">
              <w:rPr>
                <w:rFonts w:ascii="Open Sans" w:hAnsi="Open Sans" w:cs="Open Sans"/>
                <w:lang w:val="es-UY" w:eastAsia="es-UY"/>
              </w:rPr>
              <w:t xml:space="preserve">                              Edad                                                    Peso</w:t>
            </w:r>
          </w:p>
        </w:tc>
      </w:tr>
      <w:tr w:rsidR="00916AA5" w:rsidRPr="008C49D1" w:rsidTr="007E042C">
        <w:tc>
          <w:tcPr>
            <w:tcW w:w="2537" w:type="pct"/>
            <w:gridSpan w:val="9"/>
            <w:shd w:val="clear" w:color="auto" w:fill="auto"/>
          </w:tcPr>
          <w:p w:rsidR="00916AA5" w:rsidRPr="008C49D1" w:rsidRDefault="00916AA5" w:rsidP="00540EE0">
            <w:pPr>
              <w:spacing w:before="120"/>
              <w:rPr>
                <w:rFonts w:ascii="Open Sans" w:hAnsi="Open Sans" w:cs="Open Sans"/>
                <w:b/>
                <w:bCs/>
                <w:iCs/>
              </w:rPr>
            </w:pPr>
          </w:p>
        </w:tc>
        <w:tc>
          <w:tcPr>
            <w:tcW w:w="2463" w:type="pct"/>
            <w:gridSpan w:val="10"/>
            <w:shd w:val="clear" w:color="auto" w:fill="auto"/>
          </w:tcPr>
          <w:p w:rsidR="00916AA5" w:rsidRPr="008C49D1" w:rsidRDefault="00916AA5" w:rsidP="00540EE0">
            <w:pPr>
              <w:spacing w:before="120"/>
              <w:rPr>
                <w:rFonts w:ascii="Open Sans" w:hAnsi="Open Sans" w:cs="Open Sans"/>
                <w:bCs/>
                <w:iCs/>
              </w:rPr>
            </w:pPr>
          </w:p>
        </w:tc>
      </w:tr>
      <w:tr w:rsidR="007E042C" w:rsidRPr="008C49D1" w:rsidTr="007E042C">
        <w:tc>
          <w:tcPr>
            <w:tcW w:w="5000" w:type="pct"/>
            <w:gridSpan w:val="19"/>
            <w:shd w:val="clear" w:color="auto" w:fill="auto"/>
          </w:tcPr>
          <w:p w:rsidR="007E042C" w:rsidRPr="008C49D1" w:rsidRDefault="007E042C" w:rsidP="00540EE0">
            <w:pPr>
              <w:spacing w:before="120"/>
              <w:jc w:val="center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  <w:b/>
              </w:rPr>
              <w:t>Ayuno</w:t>
            </w:r>
            <w:r w:rsidRPr="008C49D1">
              <w:rPr>
                <w:rFonts w:ascii="Open Sans" w:hAnsi="Open Sans" w:cs="Open Sans"/>
              </w:rPr>
              <w:t xml:space="preserve">  sólido 3 horas antes y líquido media hora antes.</w:t>
            </w:r>
          </w:p>
          <w:p w:rsidR="007E042C" w:rsidRPr="008C49D1" w:rsidRDefault="007E042C" w:rsidP="00540EE0">
            <w:pPr>
              <w:spacing w:before="120"/>
              <w:jc w:val="both"/>
              <w:rPr>
                <w:rFonts w:ascii="Open Sans" w:hAnsi="Open Sans" w:cs="Open Sans"/>
              </w:rPr>
            </w:pPr>
          </w:p>
          <w:p w:rsidR="007E042C" w:rsidRPr="008C49D1" w:rsidRDefault="007E042C" w:rsidP="00540EE0">
            <w:pPr>
              <w:spacing w:before="120"/>
              <w:jc w:val="both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  <w:b/>
              </w:rPr>
              <w:t>Hidratación</w:t>
            </w:r>
            <w:r w:rsidRPr="008C49D1">
              <w:rPr>
                <w:rFonts w:ascii="Open Sans" w:hAnsi="Open Sans" w:cs="Open Sans"/>
              </w:rPr>
              <w:t xml:space="preserve">  la adecuada hidratación del paciente disminuye significativamente el riesgo de toxicidad por medio de contraste, fundamentalmente, en los pacientes con factores de riesgo.</w:t>
            </w:r>
          </w:p>
          <w:p w:rsidR="007E042C" w:rsidRPr="008C49D1" w:rsidRDefault="007E042C" w:rsidP="00540EE0">
            <w:pPr>
              <w:spacing w:before="120"/>
              <w:jc w:val="both"/>
              <w:rPr>
                <w:rFonts w:ascii="Open Sans" w:hAnsi="Open Sans" w:cs="Open Sans"/>
              </w:rPr>
            </w:pPr>
          </w:p>
          <w:p w:rsidR="007E042C" w:rsidRPr="008C49D1" w:rsidRDefault="007E042C" w:rsidP="00540EE0">
            <w:pPr>
              <w:spacing w:before="120"/>
              <w:jc w:val="both"/>
              <w:rPr>
                <w:rFonts w:ascii="Open Sans" w:hAnsi="Open Sans" w:cs="Open Sans"/>
                <w:b/>
                <w:u w:val="single"/>
              </w:rPr>
            </w:pPr>
            <w:r w:rsidRPr="008C49D1">
              <w:rPr>
                <w:rFonts w:ascii="Open Sans" w:hAnsi="Open Sans" w:cs="Open Sans"/>
                <w:b/>
                <w:u w:val="single"/>
              </w:rPr>
              <w:t>Pacientes sin riesgo de nefropatía por medio de contraste y con vía oral conservada</w:t>
            </w:r>
          </w:p>
          <w:p w:rsidR="007E042C" w:rsidRPr="008C49D1" w:rsidRDefault="007E042C" w:rsidP="00540EE0">
            <w:pPr>
              <w:spacing w:before="120"/>
              <w:jc w:val="both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</w:rPr>
              <w:t>Abundante cantidad de líquido por vía oral 24 horas antes y 24 horas después. Asegurar diuresis de al menos  2 litros/día.</w:t>
            </w:r>
          </w:p>
          <w:p w:rsidR="007E042C" w:rsidRPr="008C49D1" w:rsidRDefault="007E042C" w:rsidP="00540EE0">
            <w:pPr>
              <w:spacing w:before="120"/>
              <w:jc w:val="both"/>
              <w:rPr>
                <w:rFonts w:ascii="Open Sans" w:hAnsi="Open Sans" w:cs="Open Sans"/>
              </w:rPr>
            </w:pPr>
          </w:p>
          <w:p w:rsidR="007E042C" w:rsidRPr="008C49D1" w:rsidRDefault="007E042C" w:rsidP="00540EE0">
            <w:pPr>
              <w:spacing w:before="120"/>
              <w:jc w:val="both"/>
              <w:rPr>
                <w:rFonts w:ascii="Open Sans" w:hAnsi="Open Sans" w:cs="Open Sans"/>
                <w:b/>
                <w:u w:val="single"/>
              </w:rPr>
            </w:pPr>
            <w:r w:rsidRPr="008C49D1">
              <w:rPr>
                <w:rFonts w:ascii="Open Sans" w:hAnsi="Open Sans" w:cs="Open Sans"/>
                <w:b/>
                <w:u w:val="single"/>
              </w:rPr>
              <w:t>Pacientes con riesgo de nefropatía por medio de contraste o vía oral suspendida</w:t>
            </w:r>
          </w:p>
          <w:p w:rsidR="007E042C" w:rsidRPr="008C49D1" w:rsidRDefault="007E042C" w:rsidP="00540EE0">
            <w:pPr>
              <w:spacing w:before="120"/>
              <w:jc w:val="both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</w:rPr>
              <w:t>Administrar 1 ml/kg/hora de solución salina isotónica (nacl 0.9%) o suero bicarbonatado 1/6 molar por vía i/v 12 horas antes y 12 horas después del examen.</w:t>
            </w:r>
          </w:p>
          <w:p w:rsidR="007E042C" w:rsidRPr="008C49D1" w:rsidRDefault="007E042C" w:rsidP="00540EE0">
            <w:pPr>
              <w:spacing w:before="120"/>
              <w:jc w:val="both"/>
              <w:rPr>
                <w:rFonts w:ascii="Open Sans" w:hAnsi="Open Sans" w:cs="Open Sans"/>
              </w:rPr>
            </w:pPr>
          </w:p>
          <w:p w:rsidR="007E042C" w:rsidRPr="008C49D1" w:rsidRDefault="007E042C" w:rsidP="00540EE0">
            <w:pPr>
              <w:spacing w:before="120"/>
              <w:jc w:val="center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  <w:b/>
              </w:rPr>
              <w:t>FACTORES DE RIESGO</w:t>
            </w:r>
            <w:r w:rsidRPr="008C49D1">
              <w:rPr>
                <w:rFonts w:ascii="Open Sans" w:hAnsi="Open Sans" w:cs="Open Sans"/>
              </w:rPr>
              <w:t xml:space="preserve"> (marcar lo que corresponda)</w:t>
            </w:r>
          </w:p>
          <w:p w:rsidR="007E042C" w:rsidRPr="008C49D1" w:rsidRDefault="007E042C" w:rsidP="00540EE0">
            <w:pPr>
              <w:spacing w:before="120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  <w:b/>
              </w:rPr>
              <w:t>Pacientes con insuficiencia renal tratar de optar por otro estudio imagenológico sin medio de contraste. En caso de ser indispensable el estudio c/contraste para el diagnóstico, cumplir con las pautas de hidratación antes descriptas</w:t>
            </w:r>
            <w:r w:rsidRPr="008C49D1">
              <w:rPr>
                <w:rFonts w:ascii="Open Sans" w:hAnsi="Open Sans" w:cs="Open Sans"/>
              </w:rPr>
              <w:t>.</w:t>
            </w:r>
          </w:p>
          <w:p w:rsidR="007E042C" w:rsidRPr="008C49D1" w:rsidRDefault="007E042C" w:rsidP="00540EE0">
            <w:pPr>
              <w:spacing w:before="120"/>
              <w:rPr>
                <w:rFonts w:ascii="Open Sans" w:hAnsi="Open Sans" w:cs="Open Sans"/>
                <w:bCs/>
                <w:iCs/>
              </w:rPr>
            </w:pPr>
          </w:p>
        </w:tc>
      </w:tr>
      <w:tr w:rsidR="005C1C24" w:rsidRPr="008C49D1" w:rsidTr="00840192">
        <w:trPr>
          <w:trHeight w:val="120"/>
        </w:trPr>
        <w:tc>
          <w:tcPr>
            <w:tcW w:w="3736" w:type="pct"/>
            <w:gridSpan w:val="12"/>
            <w:shd w:val="clear" w:color="auto" w:fill="auto"/>
          </w:tcPr>
          <w:p w:rsidR="00980610" w:rsidRPr="008C49D1" w:rsidRDefault="007E042C" w:rsidP="00540EE0">
            <w:pPr>
              <w:spacing w:before="120"/>
              <w:rPr>
                <w:rFonts w:ascii="Open Sans" w:hAnsi="Open Sans" w:cs="Open Sans"/>
                <w:bCs/>
                <w:iCs/>
              </w:rPr>
            </w:pPr>
            <w:r w:rsidRPr="008C49D1">
              <w:rPr>
                <w:rFonts w:ascii="Open Sans" w:hAnsi="Open Sans" w:cs="Open Sans"/>
              </w:rPr>
              <w:br w:type="page"/>
            </w:r>
            <w:r w:rsidR="00980610" w:rsidRPr="008C49D1">
              <w:rPr>
                <w:rFonts w:ascii="Open Sans" w:hAnsi="Open Sans" w:cs="Open Sans"/>
                <w:b/>
                <w:bCs/>
              </w:rPr>
              <w:t xml:space="preserve">Alergia 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spacing w:before="120"/>
              <w:jc w:val="center"/>
              <w:rPr>
                <w:rFonts w:ascii="Open Sans" w:hAnsi="Open Sans" w:cs="Open Sans"/>
                <w:bCs/>
                <w:iCs/>
              </w:rPr>
            </w:pPr>
            <w:r w:rsidRPr="008C49D1">
              <w:rPr>
                <w:rFonts w:ascii="Open Sans" w:hAnsi="Open Sans" w:cs="Open Sans"/>
                <w:bCs/>
                <w:iCs/>
              </w:rPr>
              <w:t>Si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spacing w:before="120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spacing w:before="120"/>
              <w:jc w:val="center"/>
              <w:rPr>
                <w:rFonts w:ascii="Open Sans" w:hAnsi="Open Sans" w:cs="Open Sans"/>
                <w:bCs/>
                <w:iCs/>
              </w:rPr>
            </w:pPr>
            <w:r w:rsidRPr="008C49D1">
              <w:rPr>
                <w:rFonts w:ascii="Open Sans" w:hAnsi="Open Sans" w:cs="Open Sans"/>
                <w:bCs/>
                <w:iCs/>
              </w:rPr>
              <w:t>No</w:t>
            </w:r>
          </w:p>
        </w:tc>
        <w:tc>
          <w:tcPr>
            <w:tcW w:w="295" w:type="pct"/>
            <w:shd w:val="clear" w:color="auto" w:fill="auto"/>
          </w:tcPr>
          <w:p w:rsidR="00980610" w:rsidRPr="008C49D1" w:rsidRDefault="00980610" w:rsidP="00540EE0">
            <w:pPr>
              <w:spacing w:before="120"/>
              <w:rPr>
                <w:rFonts w:ascii="Open Sans" w:hAnsi="Open Sans" w:cs="Open Sans"/>
                <w:bCs/>
                <w:iCs/>
              </w:rPr>
            </w:pPr>
          </w:p>
        </w:tc>
      </w:tr>
      <w:tr w:rsidR="005C1C24" w:rsidRPr="008C49D1" w:rsidTr="00840192">
        <w:trPr>
          <w:trHeight w:val="120"/>
        </w:trPr>
        <w:tc>
          <w:tcPr>
            <w:tcW w:w="3736" w:type="pct"/>
            <w:gridSpan w:val="12"/>
            <w:shd w:val="clear" w:color="auto" w:fill="auto"/>
            <w:vAlign w:val="bottom"/>
          </w:tcPr>
          <w:p w:rsidR="00980610" w:rsidRPr="008C49D1" w:rsidRDefault="00F410E1" w:rsidP="00540EE0">
            <w:pPr>
              <w:widowControl w:val="0"/>
              <w:adjustRightInd w:val="0"/>
              <w:spacing w:before="120" w:line="266" w:lineRule="exact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</w:rPr>
              <w:lastRenderedPageBreak/>
              <w:t>A</w:t>
            </w:r>
            <w:r w:rsidR="00980610" w:rsidRPr="008C49D1">
              <w:rPr>
                <w:rFonts w:ascii="Open Sans" w:hAnsi="Open Sans" w:cs="Open Sans"/>
              </w:rPr>
              <w:t xml:space="preserve">limentos 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spacing w:before="120"/>
              <w:jc w:val="center"/>
              <w:rPr>
                <w:rFonts w:ascii="Open Sans" w:hAnsi="Open Sans" w:cs="Open Sans"/>
                <w:bCs/>
                <w:iCs/>
              </w:rPr>
            </w:pPr>
            <w:r w:rsidRPr="008C49D1">
              <w:rPr>
                <w:rFonts w:ascii="Open Sans" w:hAnsi="Open Sans" w:cs="Open Sans"/>
                <w:bCs/>
                <w:iCs/>
              </w:rPr>
              <w:t>Si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spacing w:before="120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spacing w:before="120"/>
              <w:jc w:val="center"/>
              <w:rPr>
                <w:rFonts w:ascii="Open Sans" w:hAnsi="Open Sans" w:cs="Open Sans"/>
                <w:bCs/>
                <w:iCs/>
              </w:rPr>
            </w:pPr>
            <w:r w:rsidRPr="008C49D1">
              <w:rPr>
                <w:rFonts w:ascii="Open Sans" w:hAnsi="Open Sans" w:cs="Open Sans"/>
                <w:bCs/>
                <w:iCs/>
              </w:rPr>
              <w:t>No</w:t>
            </w:r>
          </w:p>
        </w:tc>
        <w:tc>
          <w:tcPr>
            <w:tcW w:w="295" w:type="pct"/>
            <w:shd w:val="clear" w:color="auto" w:fill="auto"/>
          </w:tcPr>
          <w:p w:rsidR="00980610" w:rsidRPr="008C49D1" w:rsidRDefault="00980610" w:rsidP="00540EE0">
            <w:pPr>
              <w:spacing w:before="120"/>
              <w:rPr>
                <w:rFonts w:ascii="Open Sans" w:hAnsi="Open Sans" w:cs="Open Sans"/>
                <w:bCs/>
                <w:iCs/>
              </w:rPr>
            </w:pPr>
          </w:p>
        </w:tc>
      </w:tr>
      <w:tr w:rsidR="00980610" w:rsidRPr="008C49D1" w:rsidTr="005C1C24">
        <w:trPr>
          <w:trHeight w:val="120"/>
        </w:trPr>
        <w:tc>
          <w:tcPr>
            <w:tcW w:w="5000" w:type="pct"/>
            <w:gridSpan w:val="19"/>
            <w:shd w:val="clear" w:color="auto" w:fill="auto"/>
            <w:vAlign w:val="bottom"/>
          </w:tcPr>
          <w:p w:rsidR="00980610" w:rsidRPr="008C49D1" w:rsidRDefault="00980610" w:rsidP="00540EE0">
            <w:pPr>
              <w:spacing w:before="120"/>
              <w:rPr>
                <w:rFonts w:ascii="Open Sans" w:hAnsi="Open Sans" w:cs="Open Sans"/>
                <w:bCs/>
                <w:iCs/>
              </w:rPr>
            </w:pPr>
            <w:r w:rsidRPr="008C49D1">
              <w:rPr>
                <w:rFonts w:ascii="Open Sans" w:hAnsi="Open Sans" w:cs="Open Sans"/>
                <w:bCs/>
                <w:iCs/>
              </w:rPr>
              <w:t>¿Cuáles?</w:t>
            </w:r>
          </w:p>
        </w:tc>
      </w:tr>
      <w:tr w:rsidR="005C1C24" w:rsidRPr="008C49D1" w:rsidTr="00840192">
        <w:trPr>
          <w:trHeight w:val="120"/>
        </w:trPr>
        <w:tc>
          <w:tcPr>
            <w:tcW w:w="3736" w:type="pct"/>
            <w:gridSpan w:val="12"/>
            <w:shd w:val="clear" w:color="auto" w:fill="auto"/>
            <w:vAlign w:val="bottom"/>
          </w:tcPr>
          <w:p w:rsidR="00980610" w:rsidRPr="008C49D1" w:rsidRDefault="00980610" w:rsidP="00540EE0">
            <w:pPr>
              <w:widowControl w:val="0"/>
              <w:adjustRightInd w:val="0"/>
              <w:spacing w:before="120" w:line="266" w:lineRule="exact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</w:rPr>
              <w:t xml:space="preserve">Medicamentos 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29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980610" w:rsidRPr="008C49D1" w:rsidTr="005C1C24">
        <w:trPr>
          <w:trHeight w:val="120"/>
        </w:trPr>
        <w:tc>
          <w:tcPr>
            <w:tcW w:w="5000" w:type="pct"/>
            <w:gridSpan w:val="19"/>
            <w:shd w:val="clear" w:color="auto" w:fill="auto"/>
            <w:vAlign w:val="bottom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¿Cuáles?</w:t>
            </w:r>
          </w:p>
        </w:tc>
      </w:tr>
      <w:tr w:rsidR="005C1C24" w:rsidRPr="008C49D1" w:rsidTr="00840192">
        <w:trPr>
          <w:trHeight w:val="120"/>
        </w:trPr>
        <w:tc>
          <w:tcPr>
            <w:tcW w:w="3736" w:type="pct"/>
            <w:gridSpan w:val="1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 xml:space="preserve">Alergia a medios de contraste 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29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7E042C" w:rsidRPr="008C49D1" w:rsidTr="005C1C24">
        <w:trPr>
          <w:trHeight w:val="120"/>
        </w:trPr>
        <w:tc>
          <w:tcPr>
            <w:tcW w:w="5000" w:type="pct"/>
            <w:gridSpan w:val="19"/>
            <w:shd w:val="clear" w:color="auto" w:fill="auto"/>
          </w:tcPr>
          <w:p w:rsidR="007E042C" w:rsidRPr="008C49D1" w:rsidRDefault="007E042C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Tipo de reacción (que síntomas tuvo):</w:t>
            </w:r>
          </w:p>
        </w:tc>
      </w:tr>
      <w:tr w:rsidR="00840192" w:rsidRPr="008C49D1" w:rsidTr="00840192">
        <w:trPr>
          <w:trHeight w:val="240"/>
        </w:trPr>
        <w:tc>
          <w:tcPr>
            <w:tcW w:w="124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Asma</w:t>
            </w:r>
          </w:p>
        </w:tc>
        <w:tc>
          <w:tcPr>
            <w:tcW w:w="31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14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07" w:type="pct"/>
            <w:gridSpan w:val="3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Hipertensión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29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840192" w:rsidRPr="008C49D1" w:rsidTr="00840192">
        <w:trPr>
          <w:trHeight w:val="240"/>
        </w:trPr>
        <w:tc>
          <w:tcPr>
            <w:tcW w:w="124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Hipertiroidismo</w:t>
            </w:r>
          </w:p>
        </w:tc>
        <w:tc>
          <w:tcPr>
            <w:tcW w:w="31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14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07" w:type="pct"/>
            <w:gridSpan w:val="3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Insuficiencia Hepática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29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5C1C24" w:rsidRPr="008C49D1" w:rsidTr="00840192">
        <w:trPr>
          <w:trHeight w:val="240"/>
        </w:trPr>
        <w:tc>
          <w:tcPr>
            <w:tcW w:w="124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Diabético</w:t>
            </w:r>
          </w:p>
        </w:tc>
        <w:tc>
          <w:tcPr>
            <w:tcW w:w="31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14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07" w:type="pct"/>
            <w:gridSpan w:val="3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Toma Metfomina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29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5C1C24" w:rsidRPr="008C49D1" w:rsidTr="00840192">
        <w:trPr>
          <w:trHeight w:val="240"/>
        </w:trPr>
        <w:tc>
          <w:tcPr>
            <w:tcW w:w="124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Feocromocitoma</w:t>
            </w:r>
          </w:p>
        </w:tc>
        <w:tc>
          <w:tcPr>
            <w:tcW w:w="31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14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07" w:type="pct"/>
            <w:gridSpan w:val="3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Mieloma Múltiple: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29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5C1C24" w:rsidRPr="008C49D1" w:rsidTr="00840192">
        <w:trPr>
          <w:trHeight w:val="240"/>
        </w:trPr>
        <w:tc>
          <w:tcPr>
            <w:tcW w:w="124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Deshidratado</w:t>
            </w:r>
          </w:p>
        </w:tc>
        <w:tc>
          <w:tcPr>
            <w:tcW w:w="31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14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07" w:type="pct"/>
            <w:gridSpan w:val="3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Alcohólico: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29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5C1C24" w:rsidRPr="008C49D1" w:rsidTr="00840192">
        <w:trPr>
          <w:trHeight w:val="240"/>
        </w:trPr>
        <w:tc>
          <w:tcPr>
            <w:tcW w:w="124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 xml:space="preserve">Embarazo </w:t>
            </w:r>
          </w:p>
        </w:tc>
        <w:tc>
          <w:tcPr>
            <w:tcW w:w="31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14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07" w:type="pct"/>
            <w:gridSpan w:val="3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Lactancia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29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5C1C24" w:rsidRPr="008C49D1" w:rsidTr="00840192">
        <w:trPr>
          <w:trHeight w:val="240"/>
        </w:trPr>
        <w:tc>
          <w:tcPr>
            <w:tcW w:w="124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Proteinuria</w:t>
            </w:r>
          </w:p>
        </w:tc>
        <w:tc>
          <w:tcPr>
            <w:tcW w:w="31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14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07" w:type="pct"/>
            <w:gridSpan w:val="3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307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1248" w:type="pct"/>
            <w:gridSpan w:val="4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 xml:space="preserve">Creatinina 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Si</w:t>
            </w: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  <w:tc>
          <w:tcPr>
            <w:tcW w:w="323" w:type="pct"/>
            <w:gridSpan w:val="2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No</w:t>
            </w:r>
          </w:p>
        </w:tc>
        <w:tc>
          <w:tcPr>
            <w:tcW w:w="295" w:type="pct"/>
            <w:shd w:val="clear" w:color="auto" w:fill="auto"/>
          </w:tcPr>
          <w:p w:rsidR="00980610" w:rsidRPr="008C49D1" w:rsidRDefault="0098061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</w:p>
        </w:tc>
      </w:tr>
      <w:tr w:rsidR="005C1C24" w:rsidRPr="008C49D1" w:rsidTr="00840192">
        <w:trPr>
          <w:trHeight w:val="240"/>
        </w:trPr>
        <w:tc>
          <w:tcPr>
            <w:tcW w:w="1245" w:type="pct"/>
            <w:shd w:val="clear" w:color="auto" w:fill="auto"/>
          </w:tcPr>
          <w:p w:rsidR="005C1C24" w:rsidRPr="008C49D1" w:rsidRDefault="005C1C24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  <w:t>Enfermedad Renal</w:t>
            </w:r>
          </w:p>
        </w:tc>
        <w:tc>
          <w:tcPr>
            <w:tcW w:w="629" w:type="pct"/>
            <w:gridSpan w:val="2"/>
            <w:shd w:val="clear" w:color="auto" w:fill="auto"/>
          </w:tcPr>
          <w:p w:rsidR="005C1C24" w:rsidRPr="008C49D1" w:rsidRDefault="005C1C24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sz w:val="16"/>
                <w:szCs w:val="16"/>
                <w:lang w:val="es-UY" w:eastAsia="es-UY"/>
              </w:rPr>
              <w:t>Antecedente</w:t>
            </w:r>
          </w:p>
        </w:tc>
        <w:tc>
          <w:tcPr>
            <w:tcW w:w="297" w:type="pct"/>
            <w:gridSpan w:val="2"/>
            <w:shd w:val="clear" w:color="auto" w:fill="auto"/>
          </w:tcPr>
          <w:p w:rsidR="005C1C24" w:rsidRPr="008C49D1" w:rsidRDefault="005C1C24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  <w:t>Si</w:t>
            </w:r>
          </w:p>
        </w:tc>
        <w:tc>
          <w:tcPr>
            <w:tcW w:w="293" w:type="pct"/>
            <w:gridSpan w:val="2"/>
            <w:shd w:val="clear" w:color="auto" w:fill="auto"/>
          </w:tcPr>
          <w:p w:rsidR="005C1C24" w:rsidRPr="008C49D1" w:rsidRDefault="005C1C24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</w:pPr>
          </w:p>
        </w:tc>
        <w:tc>
          <w:tcPr>
            <w:tcW w:w="289" w:type="pct"/>
            <w:gridSpan w:val="3"/>
            <w:shd w:val="clear" w:color="auto" w:fill="auto"/>
          </w:tcPr>
          <w:p w:rsidR="005C1C24" w:rsidRPr="008C49D1" w:rsidRDefault="005C1C24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  <w:t>No</w:t>
            </w:r>
          </w:p>
        </w:tc>
        <w:tc>
          <w:tcPr>
            <w:tcW w:w="293" w:type="pct"/>
            <w:shd w:val="clear" w:color="auto" w:fill="auto"/>
          </w:tcPr>
          <w:p w:rsidR="005C1C24" w:rsidRPr="008C49D1" w:rsidRDefault="005C1C24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</w:pPr>
          </w:p>
        </w:tc>
        <w:tc>
          <w:tcPr>
            <w:tcW w:w="690" w:type="pct"/>
            <w:shd w:val="clear" w:color="auto" w:fill="auto"/>
          </w:tcPr>
          <w:p w:rsidR="005C1C24" w:rsidRPr="008C49D1" w:rsidRDefault="005C1C24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sz w:val="16"/>
                <w:szCs w:val="16"/>
                <w:lang w:val="es-UY" w:eastAsia="es-UY"/>
              </w:rPr>
              <w:t>Actualmente</w:t>
            </w:r>
          </w:p>
        </w:tc>
        <w:tc>
          <w:tcPr>
            <w:tcW w:w="317" w:type="pct"/>
            <w:shd w:val="clear" w:color="auto" w:fill="auto"/>
          </w:tcPr>
          <w:p w:rsidR="005C1C24" w:rsidRPr="008C49D1" w:rsidRDefault="005C1C24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  <w:t>Si</w:t>
            </w:r>
          </w:p>
        </w:tc>
        <w:tc>
          <w:tcPr>
            <w:tcW w:w="317" w:type="pct"/>
            <w:gridSpan w:val="2"/>
            <w:shd w:val="clear" w:color="auto" w:fill="auto"/>
          </w:tcPr>
          <w:p w:rsidR="005C1C24" w:rsidRPr="008C49D1" w:rsidRDefault="005C1C24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</w:pPr>
          </w:p>
        </w:tc>
        <w:tc>
          <w:tcPr>
            <w:tcW w:w="317" w:type="pct"/>
            <w:gridSpan w:val="2"/>
            <w:shd w:val="clear" w:color="auto" w:fill="auto"/>
          </w:tcPr>
          <w:p w:rsidR="005C1C24" w:rsidRPr="008C49D1" w:rsidRDefault="005C1C24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  <w:t>No</w:t>
            </w:r>
          </w:p>
        </w:tc>
        <w:tc>
          <w:tcPr>
            <w:tcW w:w="313" w:type="pct"/>
            <w:gridSpan w:val="2"/>
            <w:shd w:val="clear" w:color="auto" w:fill="auto"/>
          </w:tcPr>
          <w:p w:rsidR="005C1C24" w:rsidRPr="008C49D1" w:rsidRDefault="005C1C24" w:rsidP="00540EE0">
            <w:pPr>
              <w:adjustRightInd w:val="0"/>
              <w:spacing w:before="120"/>
              <w:jc w:val="center"/>
              <w:rPr>
                <w:rFonts w:ascii="Open Sans" w:hAnsi="Open Sans" w:cs="Open Sans"/>
                <w:color w:val="000000"/>
                <w:szCs w:val="16"/>
                <w:lang w:val="es-UY" w:eastAsia="es-UY"/>
              </w:rPr>
            </w:pPr>
          </w:p>
        </w:tc>
      </w:tr>
      <w:tr w:rsidR="007E042C" w:rsidRPr="008C49D1" w:rsidTr="005C1C24">
        <w:trPr>
          <w:trHeight w:val="240"/>
        </w:trPr>
        <w:tc>
          <w:tcPr>
            <w:tcW w:w="5000" w:type="pct"/>
            <w:gridSpan w:val="19"/>
            <w:shd w:val="clear" w:color="auto" w:fill="auto"/>
          </w:tcPr>
          <w:p w:rsidR="007E042C" w:rsidRPr="008C49D1" w:rsidRDefault="00D55232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</w:rPr>
              <w:t>Insuficiencia Cardíaca o Cardiopatía Congénita:</w:t>
            </w:r>
          </w:p>
        </w:tc>
      </w:tr>
      <w:tr w:rsidR="00D55232" w:rsidRPr="008C49D1" w:rsidTr="005C1C24">
        <w:trPr>
          <w:trHeight w:val="240"/>
        </w:trPr>
        <w:tc>
          <w:tcPr>
            <w:tcW w:w="5000" w:type="pct"/>
            <w:gridSpan w:val="19"/>
            <w:shd w:val="clear" w:color="auto" w:fill="auto"/>
          </w:tcPr>
          <w:p w:rsidR="00D55232" w:rsidRPr="008C49D1" w:rsidRDefault="00D5523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</w:rPr>
              <w:t>Hemoglobina: (g/dl) -                                              Hematocrito - (%)</w:t>
            </w:r>
          </w:p>
        </w:tc>
      </w:tr>
      <w:tr w:rsidR="00D55232" w:rsidRPr="008C49D1" w:rsidTr="00840192">
        <w:trPr>
          <w:trHeight w:val="96"/>
        </w:trPr>
        <w:tc>
          <w:tcPr>
            <w:tcW w:w="2026" w:type="pct"/>
            <w:gridSpan w:val="4"/>
            <w:shd w:val="clear" w:color="auto" w:fill="auto"/>
          </w:tcPr>
          <w:p w:rsidR="00D55232" w:rsidRPr="008C49D1" w:rsidRDefault="00D5523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  <w:w w:val="99"/>
              </w:rPr>
              <w:t>Toma medicamentos betabloqueantes (detallar nombres)</w:t>
            </w:r>
          </w:p>
        </w:tc>
        <w:tc>
          <w:tcPr>
            <w:tcW w:w="2974" w:type="pct"/>
            <w:gridSpan w:val="15"/>
            <w:shd w:val="clear" w:color="auto" w:fill="auto"/>
          </w:tcPr>
          <w:p w:rsidR="00D55232" w:rsidRPr="008C49D1" w:rsidRDefault="00D5523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</w:p>
        </w:tc>
      </w:tr>
      <w:tr w:rsidR="00D55232" w:rsidRPr="008C49D1" w:rsidTr="00840192">
        <w:trPr>
          <w:trHeight w:val="96"/>
        </w:trPr>
        <w:tc>
          <w:tcPr>
            <w:tcW w:w="2026" w:type="pct"/>
            <w:gridSpan w:val="4"/>
            <w:shd w:val="clear" w:color="auto" w:fill="auto"/>
          </w:tcPr>
          <w:p w:rsidR="00D55232" w:rsidRPr="008C49D1" w:rsidRDefault="00D5523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</w:rPr>
              <w:t>Otra medicación que toma el paciente</w:t>
            </w:r>
          </w:p>
        </w:tc>
        <w:tc>
          <w:tcPr>
            <w:tcW w:w="2974" w:type="pct"/>
            <w:gridSpan w:val="15"/>
            <w:shd w:val="clear" w:color="auto" w:fill="auto"/>
          </w:tcPr>
          <w:p w:rsidR="00D55232" w:rsidRPr="008C49D1" w:rsidRDefault="00D5523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</w:p>
        </w:tc>
      </w:tr>
      <w:tr w:rsidR="00840192" w:rsidRPr="008C49D1" w:rsidTr="00840192">
        <w:trPr>
          <w:trHeight w:val="96"/>
        </w:trPr>
        <w:tc>
          <w:tcPr>
            <w:tcW w:w="2026" w:type="pct"/>
            <w:gridSpan w:val="4"/>
            <w:shd w:val="clear" w:color="auto" w:fill="auto"/>
          </w:tcPr>
          <w:p w:rsidR="00840192" w:rsidRPr="008C49D1" w:rsidRDefault="0084019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</w:rPr>
              <w:t>Otros antecedentes</w:t>
            </w:r>
          </w:p>
          <w:p w:rsidR="00840192" w:rsidRPr="008C49D1" w:rsidRDefault="0084019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</w:p>
        </w:tc>
        <w:tc>
          <w:tcPr>
            <w:tcW w:w="2974" w:type="pct"/>
            <w:gridSpan w:val="15"/>
            <w:shd w:val="clear" w:color="auto" w:fill="auto"/>
          </w:tcPr>
          <w:p w:rsidR="00840192" w:rsidRPr="008C49D1" w:rsidRDefault="0084019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</w:p>
        </w:tc>
      </w:tr>
      <w:tr w:rsidR="00D55232" w:rsidRPr="008C49D1" w:rsidTr="00840192">
        <w:trPr>
          <w:trHeight w:val="96"/>
        </w:trPr>
        <w:tc>
          <w:tcPr>
            <w:tcW w:w="2026" w:type="pct"/>
            <w:gridSpan w:val="4"/>
            <w:shd w:val="clear" w:color="auto" w:fill="auto"/>
          </w:tcPr>
          <w:p w:rsidR="00D55232" w:rsidRPr="008C49D1" w:rsidRDefault="00D5523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</w:rPr>
              <w:t>¿Recibió medio de contraste en las últimas 72 horas?</w:t>
            </w:r>
          </w:p>
        </w:tc>
        <w:tc>
          <w:tcPr>
            <w:tcW w:w="2974" w:type="pct"/>
            <w:gridSpan w:val="15"/>
            <w:shd w:val="clear" w:color="auto" w:fill="auto"/>
          </w:tcPr>
          <w:p w:rsidR="00D55232" w:rsidRPr="008C49D1" w:rsidRDefault="00D5523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</w:p>
        </w:tc>
      </w:tr>
      <w:tr w:rsidR="00D55232" w:rsidRPr="008C49D1" w:rsidTr="00840192">
        <w:trPr>
          <w:trHeight w:val="96"/>
        </w:trPr>
        <w:tc>
          <w:tcPr>
            <w:tcW w:w="2026" w:type="pct"/>
            <w:gridSpan w:val="4"/>
            <w:shd w:val="clear" w:color="auto" w:fill="auto"/>
          </w:tcPr>
          <w:p w:rsidR="00D55232" w:rsidRPr="008C49D1" w:rsidRDefault="00D5523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</w:rPr>
              <w:t>Detallar si recibió quimioterapia en los últimos 6 meses</w:t>
            </w:r>
          </w:p>
        </w:tc>
        <w:tc>
          <w:tcPr>
            <w:tcW w:w="2974" w:type="pct"/>
            <w:gridSpan w:val="15"/>
            <w:shd w:val="clear" w:color="auto" w:fill="auto"/>
          </w:tcPr>
          <w:p w:rsidR="00D55232" w:rsidRPr="008C49D1" w:rsidRDefault="00D5523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</w:p>
        </w:tc>
      </w:tr>
      <w:tr w:rsidR="00D55232" w:rsidRPr="008C49D1" w:rsidTr="00840192">
        <w:trPr>
          <w:trHeight w:val="96"/>
        </w:trPr>
        <w:tc>
          <w:tcPr>
            <w:tcW w:w="2026" w:type="pct"/>
            <w:gridSpan w:val="4"/>
            <w:shd w:val="clear" w:color="auto" w:fill="auto"/>
          </w:tcPr>
          <w:p w:rsidR="00D55232" w:rsidRPr="008C49D1" w:rsidRDefault="00D5523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  <w:r w:rsidRPr="008C49D1">
              <w:rPr>
                <w:rFonts w:ascii="Open Sans" w:hAnsi="Open Sans" w:cs="Open Sans"/>
              </w:rPr>
              <w:t>Se debe adjuntar resultado de creatinina  (menos de 3 meses)</w:t>
            </w:r>
          </w:p>
        </w:tc>
        <w:tc>
          <w:tcPr>
            <w:tcW w:w="2974" w:type="pct"/>
            <w:gridSpan w:val="15"/>
            <w:shd w:val="clear" w:color="auto" w:fill="auto"/>
          </w:tcPr>
          <w:p w:rsidR="00D55232" w:rsidRPr="008C49D1" w:rsidRDefault="00D55232" w:rsidP="00540EE0">
            <w:pPr>
              <w:adjustRightInd w:val="0"/>
              <w:spacing w:before="120"/>
              <w:rPr>
                <w:rFonts w:ascii="Open Sans" w:hAnsi="Open Sans" w:cs="Open Sans"/>
              </w:rPr>
            </w:pPr>
          </w:p>
        </w:tc>
      </w:tr>
      <w:tr w:rsidR="00840192" w:rsidRPr="008C49D1" w:rsidTr="00840192">
        <w:tc>
          <w:tcPr>
            <w:tcW w:w="2537" w:type="pct"/>
            <w:gridSpan w:val="9"/>
            <w:shd w:val="clear" w:color="auto" w:fill="auto"/>
          </w:tcPr>
          <w:p w:rsidR="00840192" w:rsidRPr="008C49D1" w:rsidRDefault="00840192" w:rsidP="00540EE0">
            <w:pPr>
              <w:spacing w:before="120"/>
              <w:jc w:val="center"/>
              <w:rPr>
                <w:rFonts w:ascii="Open Sans" w:hAnsi="Open Sans" w:cs="Open Sans"/>
                <w:bCs/>
                <w:iCs/>
              </w:rPr>
            </w:pPr>
          </w:p>
          <w:p w:rsidR="00840192" w:rsidRPr="008C49D1" w:rsidRDefault="00840192" w:rsidP="00540EE0">
            <w:pPr>
              <w:spacing w:before="120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  <w:tc>
          <w:tcPr>
            <w:tcW w:w="2463" w:type="pct"/>
            <w:gridSpan w:val="10"/>
            <w:shd w:val="clear" w:color="auto" w:fill="auto"/>
          </w:tcPr>
          <w:p w:rsidR="00840192" w:rsidRPr="008C49D1" w:rsidRDefault="00840192" w:rsidP="00540EE0">
            <w:pPr>
              <w:spacing w:before="120"/>
              <w:jc w:val="center"/>
              <w:rPr>
                <w:rFonts w:ascii="Open Sans" w:hAnsi="Open Sans" w:cs="Open Sans"/>
                <w:bCs/>
                <w:iCs/>
              </w:rPr>
            </w:pPr>
          </w:p>
        </w:tc>
      </w:tr>
      <w:tr w:rsidR="005C1C24" w:rsidRPr="008C49D1" w:rsidTr="00840192">
        <w:tc>
          <w:tcPr>
            <w:tcW w:w="2537" w:type="pct"/>
            <w:gridSpan w:val="9"/>
            <w:shd w:val="clear" w:color="auto" w:fill="auto"/>
          </w:tcPr>
          <w:p w:rsidR="007E042C" w:rsidRPr="008C49D1" w:rsidRDefault="00840192" w:rsidP="00540EE0">
            <w:pPr>
              <w:spacing w:before="120"/>
              <w:jc w:val="center"/>
              <w:rPr>
                <w:rFonts w:ascii="Open Sans" w:hAnsi="Open Sans" w:cs="Open Sans"/>
                <w:bCs/>
                <w:iCs/>
              </w:rPr>
            </w:pPr>
            <w:r w:rsidRPr="008C49D1">
              <w:rPr>
                <w:rFonts w:ascii="Open Sans" w:hAnsi="Open Sans" w:cs="Open Sans"/>
                <w:bCs/>
                <w:iCs/>
              </w:rPr>
              <w:t>Firma del Médico Tratante</w:t>
            </w:r>
          </w:p>
        </w:tc>
        <w:tc>
          <w:tcPr>
            <w:tcW w:w="2463" w:type="pct"/>
            <w:gridSpan w:val="10"/>
            <w:shd w:val="clear" w:color="auto" w:fill="auto"/>
          </w:tcPr>
          <w:p w:rsidR="007E042C" w:rsidRPr="008C49D1" w:rsidRDefault="00840192" w:rsidP="00540EE0">
            <w:pPr>
              <w:spacing w:before="120"/>
              <w:jc w:val="center"/>
              <w:rPr>
                <w:rFonts w:ascii="Open Sans" w:hAnsi="Open Sans" w:cs="Open Sans"/>
                <w:bCs/>
                <w:iCs/>
              </w:rPr>
            </w:pPr>
            <w:r w:rsidRPr="008C49D1">
              <w:rPr>
                <w:rFonts w:ascii="Open Sans" w:hAnsi="Open Sans" w:cs="Open Sans"/>
                <w:bCs/>
                <w:iCs/>
              </w:rPr>
              <w:t>Firma del Paciente</w:t>
            </w:r>
          </w:p>
        </w:tc>
      </w:tr>
    </w:tbl>
    <w:p w:rsidR="00840192" w:rsidRPr="008C49D1" w:rsidRDefault="00310068" w:rsidP="00540EE0">
      <w:pPr>
        <w:adjustRightInd w:val="0"/>
        <w:jc w:val="center"/>
        <w:rPr>
          <w:rFonts w:ascii="Open Sans" w:hAnsi="Open Sans" w:cs="Open Sans"/>
          <w:b/>
          <w:color w:val="000000"/>
          <w:sz w:val="22"/>
          <w:lang w:val="es-UY" w:eastAsia="es-UY"/>
        </w:rPr>
      </w:pPr>
      <w:r w:rsidRPr="008C49D1">
        <w:rPr>
          <w:rFonts w:ascii="Open Sans" w:hAnsi="Open Sans" w:cs="Open Sans"/>
          <w:i/>
          <w:color w:val="A6A6A6"/>
          <w:lang w:val="es-UY" w:eastAsia="es-UY"/>
        </w:rPr>
        <w:t>Según Art. 30 del Decreto 274/2010 sus datos pueden  ser utilizados con fines estadísticos</w:t>
      </w:r>
      <w:r w:rsidR="00840192" w:rsidRPr="008C49D1">
        <w:rPr>
          <w:rFonts w:ascii="Open Sans" w:hAnsi="Open Sans" w:cs="Open Sans"/>
          <w:b/>
          <w:color w:val="A6A6A6"/>
          <w:sz w:val="24"/>
          <w:lang w:val="es-UY" w:eastAsia="es-UY"/>
        </w:rPr>
        <w:br w:type="page"/>
      </w:r>
      <w:r w:rsidR="00840192" w:rsidRPr="008C49D1">
        <w:rPr>
          <w:rFonts w:ascii="Open Sans" w:hAnsi="Open Sans" w:cs="Open Sans"/>
          <w:b/>
          <w:color w:val="000000"/>
          <w:sz w:val="22"/>
          <w:lang w:val="es-UY" w:eastAsia="es-UY"/>
        </w:rPr>
        <w:lastRenderedPageBreak/>
        <w:t>Protocolo para  Administración de Medios de Contraste</w:t>
      </w:r>
    </w:p>
    <w:p w:rsidR="00840192" w:rsidRPr="008C49D1" w:rsidRDefault="00840192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840192" w:rsidRPr="008C49D1" w:rsidRDefault="00840192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  <w:r w:rsidRPr="008C49D1">
        <w:rPr>
          <w:rFonts w:ascii="Open Sans" w:hAnsi="Open Sans" w:cs="Open Sans"/>
          <w:color w:val="000000"/>
          <w:lang w:val="es-UY" w:eastAsia="es-UY"/>
        </w:rPr>
        <w:t>Elaborado según las guías de la sociedad europea de radiología y de urología, manual del colegio americano de radiología versión 8.0- año 2012, pautas Europeas Esur  y, las recomendaciones contenidas en Kdigo Clinical Practice Guideline For Acute Kidney Injury.</w:t>
      </w:r>
    </w:p>
    <w:p w:rsidR="00840192" w:rsidRPr="008C49D1" w:rsidRDefault="00840192" w:rsidP="00840192">
      <w:pPr>
        <w:adjustRightInd w:val="0"/>
        <w:jc w:val="center"/>
        <w:rPr>
          <w:rFonts w:ascii="Open Sans" w:hAnsi="Open Sans" w:cs="Open Sans"/>
          <w:color w:val="000000"/>
          <w:lang w:val="es-UY" w:eastAsia="es-UY"/>
        </w:rPr>
      </w:pPr>
      <w:r w:rsidRPr="008C49D1">
        <w:rPr>
          <w:rFonts w:ascii="Open Sans" w:hAnsi="Open Sans" w:cs="Open Sans"/>
          <w:color w:val="000000"/>
          <w:lang w:val="es-UY" w:eastAsia="es-UY"/>
        </w:rPr>
        <w:t>Setiembre 2013</w:t>
      </w:r>
    </w:p>
    <w:p w:rsidR="00840192" w:rsidRPr="008C49D1" w:rsidRDefault="00840192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840192" w:rsidRPr="008C49D1" w:rsidTr="00A73A15">
        <w:tc>
          <w:tcPr>
            <w:tcW w:w="5000" w:type="pct"/>
            <w:shd w:val="clear" w:color="auto" w:fill="B8CCE4"/>
          </w:tcPr>
          <w:p w:rsidR="00840192" w:rsidRPr="008C49D1" w:rsidRDefault="00840192" w:rsidP="00540EE0">
            <w:pPr>
              <w:numPr>
                <w:ilvl w:val="0"/>
                <w:numId w:val="24"/>
              </w:numPr>
              <w:adjustRightInd w:val="0"/>
              <w:spacing w:before="120"/>
              <w:rPr>
                <w:rFonts w:ascii="Open Sans" w:hAnsi="Open Sans" w:cs="Open Sans"/>
                <w:b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b/>
                <w:color w:val="000000"/>
                <w:lang w:val="es-UY" w:eastAsia="es-UY"/>
              </w:rPr>
              <w:t>Estudios que pueden requerir medio de contraste  iodado</w:t>
            </w:r>
          </w:p>
        </w:tc>
      </w:tr>
      <w:tr w:rsidR="00840192" w:rsidRPr="008C49D1" w:rsidTr="0046421B">
        <w:tc>
          <w:tcPr>
            <w:tcW w:w="5000" w:type="pct"/>
            <w:shd w:val="clear" w:color="auto" w:fill="auto"/>
          </w:tcPr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urografía intravenosa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tomografía computada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arteriografía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colecistografía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flebografía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 xml:space="preserve">estudios hemodinámicos </w:t>
            </w:r>
          </w:p>
        </w:tc>
      </w:tr>
      <w:tr w:rsidR="00840192" w:rsidRPr="008C49D1" w:rsidTr="00A73A15">
        <w:tc>
          <w:tcPr>
            <w:tcW w:w="5000" w:type="pct"/>
            <w:shd w:val="clear" w:color="auto" w:fill="B8CCE4"/>
          </w:tcPr>
          <w:p w:rsidR="00840192" w:rsidRPr="008C49D1" w:rsidRDefault="00840192" w:rsidP="00540EE0">
            <w:pPr>
              <w:numPr>
                <w:ilvl w:val="0"/>
                <w:numId w:val="24"/>
              </w:numPr>
              <w:adjustRightInd w:val="0"/>
              <w:spacing w:before="120"/>
              <w:rPr>
                <w:rFonts w:ascii="Open Sans" w:hAnsi="Open Sans" w:cs="Open Sans"/>
                <w:b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b/>
                <w:color w:val="000000"/>
                <w:lang w:val="es-UY" w:eastAsia="es-UY"/>
              </w:rPr>
              <w:t>Vías de eliminación del contraste intravenoso</w:t>
            </w:r>
          </w:p>
        </w:tc>
      </w:tr>
      <w:tr w:rsidR="00840192" w:rsidRPr="008C49D1" w:rsidTr="0046421B">
        <w:tc>
          <w:tcPr>
            <w:tcW w:w="5000" w:type="pct"/>
            <w:shd w:val="clear" w:color="auto" w:fill="auto"/>
          </w:tcPr>
          <w:p w:rsidR="00840192" w:rsidRPr="008C49D1" w:rsidRDefault="00840192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 xml:space="preserve"> </w:t>
            </w:r>
            <w:r w:rsidR="00540EE0" w:rsidRPr="008C49D1">
              <w:rPr>
                <w:rFonts w:ascii="Open Sans" w:hAnsi="Open Sans" w:cs="Open Sans"/>
                <w:color w:val="000000"/>
                <w:lang w:val="es-UY" w:eastAsia="es-UY"/>
              </w:rPr>
              <w:t xml:space="preserve">         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nefrológica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hepática</w:t>
            </w:r>
          </w:p>
        </w:tc>
      </w:tr>
      <w:tr w:rsidR="00840192" w:rsidRPr="008C49D1" w:rsidTr="00A73A15">
        <w:tc>
          <w:tcPr>
            <w:tcW w:w="5000" w:type="pct"/>
            <w:shd w:val="clear" w:color="auto" w:fill="B8CCE4"/>
          </w:tcPr>
          <w:p w:rsidR="00840192" w:rsidRPr="008C49D1" w:rsidRDefault="00840192" w:rsidP="00540EE0">
            <w:pPr>
              <w:numPr>
                <w:ilvl w:val="0"/>
                <w:numId w:val="24"/>
              </w:numPr>
              <w:spacing w:before="120"/>
              <w:rPr>
                <w:rFonts w:ascii="Open Sans" w:hAnsi="Open Sans" w:cs="Open Sans"/>
                <w:b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b/>
                <w:color w:val="000000"/>
                <w:lang w:val="es-UY" w:eastAsia="es-UY"/>
              </w:rPr>
              <w:t>Factores de riesgo de nefropatía inducida por medios de contraste:</w:t>
            </w:r>
          </w:p>
        </w:tc>
      </w:tr>
      <w:tr w:rsidR="00840192" w:rsidRPr="008C49D1" w:rsidTr="0046421B">
        <w:tc>
          <w:tcPr>
            <w:tcW w:w="5000" w:type="pct"/>
            <w:shd w:val="clear" w:color="auto" w:fill="auto"/>
          </w:tcPr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 xml:space="preserve">deshidratación 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edad mayor de 65 años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diabetes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hipertensión arterial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 xml:space="preserve">cardiopatía  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alcoholismo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 xml:space="preserve">insuficiencia hepática 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mieloma múltiple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</w:r>
            <w:r w:rsidR="003F0B98" w:rsidRPr="008C49D1">
              <w:rPr>
                <w:rFonts w:ascii="Open Sans" w:hAnsi="Open Sans" w:cs="Open Sans"/>
                <w:color w:val="000000"/>
                <w:lang w:val="es-UY" w:eastAsia="es-UY"/>
              </w:rPr>
              <w:t>Exposición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 xml:space="preserve"> a medio de contraste en las últimas 72 hs.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 xml:space="preserve">paciente que recibe fármacos  con riesgo nefrotóxico: antiinflamatorios no  </w:t>
            </w:r>
          </w:p>
          <w:p w:rsidR="00840192" w:rsidRPr="008C49D1" w:rsidRDefault="00840192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 xml:space="preserve">                    esteroideos, quimioterapia, aminoglucósidos</w:t>
            </w:r>
          </w:p>
          <w:p w:rsidR="004F1117" w:rsidRPr="008C49D1" w:rsidRDefault="004F1117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En todos ellos solicitar examen de orina y cretinina previos al estudio</w:t>
            </w:r>
          </w:p>
          <w:p w:rsidR="00540EE0" w:rsidRPr="008C49D1" w:rsidRDefault="004F1117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En caso de:</w:t>
            </w:r>
          </w:p>
          <w:p w:rsidR="004F1117" w:rsidRPr="008C49D1" w:rsidRDefault="00540EE0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 xml:space="preserve">          </w:t>
            </w:r>
            <w:r w:rsidR="004F1117"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="004F1117"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creatinina mayor de 1.2 mg/dl en mayores de 65 años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creatinina mayor de 1.5 mg/dl a cualquier edad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ifg menor de 45 ml/min/1.73 m2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lastRenderedPageBreak/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 xml:space="preserve">en pacientes con antecedentes de haber recibido contraste que presentaron  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 xml:space="preserve">          aumento de creatinina mayor de 0.3 mg7dl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proteinuria +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monoreno congénito, quirúrgico o, trasplantado renal</w:t>
            </w:r>
          </w:p>
          <w:p w:rsidR="004F1117" w:rsidRPr="008C49D1" w:rsidRDefault="004F1117" w:rsidP="00540EE0">
            <w:pPr>
              <w:adjustRightInd w:val="0"/>
              <w:spacing w:before="120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 xml:space="preserve">                       Consulta con nefrólogo</w:t>
            </w:r>
          </w:p>
          <w:p w:rsidR="00840192" w:rsidRPr="008C49D1" w:rsidRDefault="00840192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lang w:val="es-UY" w:eastAsia="es-UY"/>
              </w:rPr>
            </w:pPr>
          </w:p>
        </w:tc>
      </w:tr>
      <w:tr w:rsidR="004F1117" w:rsidRPr="008C49D1" w:rsidTr="00A73A15">
        <w:tc>
          <w:tcPr>
            <w:tcW w:w="5000" w:type="pct"/>
            <w:shd w:val="clear" w:color="auto" w:fill="B8CCE4"/>
          </w:tcPr>
          <w:p w:rsidR="004F1117" w:rsidRPr="008C49D1" w:rsidRDefault="004F1117" w:rsidP="00540EE0">
            <w:pPr>
              <w:numPr>
                <w:ilvl w:val="0"/>
                <w:numId w:val="24"/>
              </w:numPr>
              <w:adjustRightInd w:val="0"/>
              <w:spacing w:before="120"/>
              <w:rPr>
                <w:rFonts w:ascii="Open Sans" w:hAnsi="Open Sans" w:cs="Open Sans"/>
                <w:b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b/>
                <w:color w:val="000000"/>
                <w:lang w:val="es-UY" w:eastAsia="es-UY"/>
              </w:rPr>
              <w:lastRenderedPageBreak/>
              <w:t>Factores que aumentan el riesgo de reacciones adversas no renales</w:t>
            </w:r>
          </w:p>
        </w:tc>
      </w:tr>
      <w:tr w:rsidR="004F1117" w:rsidRPr="008C49D1" w:rsidTr="0046421B">
        <w:tc>
          <w:tcPr>
            <w:tcW w:w="5000" w:type="pct"/>
            <w:shd w:val="clear" w:color="auto" w:fill="auto"/>
          </w:tcPr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niños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enfermedad tiroidea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mieloma múltiple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feocromocitoma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pacientes que toman betabloqueantes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anemia, policitemia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alergias conocidas</w:t>
            </w:r>
          </w:p>
          <w:p w:rsidR="004F1117" w:rsidRPr="008C49D1" w:rsidRDefault="004F1117" w:rsidP="00540EE0">
            <w:pPr>
              <w:adjustRightInd w:val="0"/>
              <w:spacing w:before="120"/>
              <w:ind w:left="709"/>
              <w:rPr>
                <w:rFonts w:ascii="Open Sans" w:hAnsi="Open Sans" w:cs="Open Sans"/>
                <w:color w:val="000000"/>
                <w:lang w:val="es-UY" w:eastAsia="es-UY"/>
              </w:rPr>
            </w:pP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>•</w:t>
            </w:r>
            <w:r w:rsidRPr="008C49D1">
              <w:rPr>
                <w:rFonts w:ascii="Open Sans" w:hAnsi="Open Sans" w:cs="Open Sans"/>
                <w:color w:val="000000"/>
                <w:lang w:val="es-UY" w:eastAsia="es-UY"/>
              </w:rPr>
              <w:tab/>
              <w:t>asma</w:t>
            </w:r>
          </w:p>
        </w:tc>
      </w:tr>
    </w:tbl>
    <w:p w:rsidR="00840192" w:rsidRPr="008C49D1" w:rsidRDefault="00840192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840192" w:rsidRPr="008C49D1" w:rsidRDefault="00840192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840192" w:rsidRPr="008C49D1" w:rsidRDefault="00840192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840192" w:rsidRPr="008C49D1" w:rsidRDefault="00840192" w:rsidP="00840192">
      <w:pPr>
        <w:adjustRightInd w:val="0"/>
        <w:rPr>
          <w:rFonts w:ascii="Open Sans" w:hAnsi="Open Sans" w:cs="Open Sans"/>
          <w:b/>
          <w:color w:val="000000"/>
          <w:lang w:val="es-UY" w:eastAsia="es-UY"/>
        </w:rPr>
      </w:pPr>
      <w:r w:rsidRPr="008C49D1">
        <w:rPr>
          <w:rFonts w:ascii="Open Sans" w:hAnsi="Open Sans" w:cs="Open Sans"/>
          <w:b/>
          <w:color w:val="000000"/>
          <w:lang w:val="es-UY" w:eastAsia="es-UY"/>
        </w:rPr>
        <w:t>En todos los casos,  previo a la administración del medio de contraste, se debe asegurar una adecuada hidratación del paciente para disminuir la posibilidad de  aparición de reacciones adversas</w:t>
      </w:r>
    </w:p>
    <w:p w:rsidR="00840192" w:rsidRPr="008C49D1" w:rsidRDefault="00840192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840192" w:rsidRPr="008C49D1" w:rsidRDefault="00840192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572E65" w:rsidRPr="008C49D1" w:rsidRDefault="00572E65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572E65" w:rsidRPr="008C49D1" w:rsidRDefault="00572E65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840192" w:rsidRPr="008C49D1" w:rsidRDefault="00840192" w:rsidP="00111ED0">
      <w:pPr>
        <w:adjustRightInd w:val="0"/>
        <w:jc w:val="center"/>
        <w:rPr>
          <w:rFonts w:ascii="Open Sans" w:hAnsi="Open Sans" w:cs="Open Sans"/>
          <w:b/>
          <w:color w:val="000000"/>
          <w:lang w:val="es-UY" w:eastAsia="es-UY"/>
        </w:rPr>
      </w:pPr>
      <w:r w:rsidRPr="008C49D1">
        <w:rPr>
          <w:rFonts w:ascii="Open Sans" w:hAnsi="Open Sans" w:cs="Open Sans"/>
          <w:b/>
          <w:color w:val="000000"/>
          <w:lang w:val="es-UY" w:eastAsia="es-UY"/>
        </w:rPr>
        <w:t>Este protocolo será actualizado periódicamente</w:t>
      </w:r>
    </w:p>
    <w:p w:rsidR="00840192" w:rsidRPr="008C49D1" w:rsidRDefault="00840192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111ED0" w:rsidRPr="008C49D1" w:rsidRDefault="00111ED0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840192" w:rsidRPr="008C49D1" w:rsidRDefault="00840192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840192" w:rsidRPr="008C49D1" w:rsidRDefault="00840192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  <w:r w:rsidRPr="008C49D1">
        <w:rPr>
          <w:rFonts w:ascii="Open Sans" w:hAnsi="Open Sans" w:cs="Open Sans"/>
          <w:color w:val="000000"/>
          <w:lang w:val="es-UY" w:eastAsia="es-UY"/>
        </w:rPr>
        <w:t xml:space="preserve">Profesor Dr. </w:t>
      </w:r>
      <w:r w:rsidR="004B3683" w:rsidRPr="008C49D1">
        <w:rPr>
          <w:rFonts w:ascii="Open Sans" w:hAnsi="Open Sans" w:cs="Open Sans"/>
          <w:color w:val="000000"/>
          <w:lang w:val="es-UY" w:eastAsia="es-UY"/>
        </w:rPr>
        <w:t>L</w:t>
      </w:r>
      <w:r w:rsidRPr="008C49D1">
        <w:rPr>
          <w:rFonts w:ascii="Open Sans" w:hAnsi="Open Sans" w:cs="Open Sans"/>
          <w:color w:val="000000"/>
          <w:lang w:val="es-UY" w:eastAsia="es-UY"/>
        </w:rPr>
        <w:t xml:space="preserve">uis </w:t>
      </w:r>
      <w:r w:rsidR="004B3683" w:rsidRPr="008C49D1">
        <w:rPr>
          <w:rFonts w:ascii="Open Sans" w:hAnsi="Open Sans" w:cs="Open Sans"/>
          <w:color w:val="000000"/>
          <w:lang w:val="es-UY" w:eastAsia="es-UY"/>
        </w:rPr>
        <w:t>D</w:t>
      </w:r>
      <w:r w:rsidRPr="008C49D1">
        <w:rPr>
          <w:rFonts w:ascii="Open Sans" w:hAnsi="Open Sans" w:cs="Open Sans"/>
          <w:color w:val="000000"/>
          <w:lang w:val="es-UY" w:eastAsia="es-UY"/>
        </w:rPr>
        <w:t xml:space="preserve">ibarboure              </w:t>
      </w:r>
      <w:r w:rsidR="00B83734">
        <w:rPr>
          <w:rFonts w:ascii="Open Sans" w:hAnsi="Open Sans" w:cs="Open Sans"/>
          <w:color w:val="000000"/>
          <w:lang w:val="es-UY" w:eastAsia="es-UY"/>
        </w:rPr>
        <w:t xml:space="preserve">                         </w:t>
      </w:r>
      <w:r w:rsidR="004B3683" w:rsidRPr="008C49D1">
        <w:rPr>
          <w:rFonts w:ascii="Open Sans" w:hAnsi="Open Sans" w:cs="Open Sans"/>
          <w:color w:val="000000"/>
          <w:lang w:val="es-UY" w:eastAsia="es-UY"/>
        </w:rPr>
        <w:t>P</w:t>
      </w:r>
      <w:r w:rsidRPr="008C49D1">
        <w:rPr>
          <w:rFonts w:ascii="Open Sans" w:hAnsi="Open Sans" w:cs="Open Sans"/>
          <w:color w:val="000000"/>
          <w:lang w:val="es-UY" w:eastAsia="es-UY"/>
        </w:rPr>
        <w:t xml:space="preserve">rofesor </w:t>
      </w:r>
      <w:r w:rsidR="004B3683" w:rsidRPr="008C49D1">
        <w:rPr>
          <w:rFonts w:ascii="Open Sans" w:hAnsi="Open Sans" w:cs="Open Sans"/>
          <w:color w:val="000000"/>
          <w:lang w:val="es-UY" w:eastAsia="es-UY"/>
        </w:rPr>
        <w:t>D</w:t>
      </w:r>
      <w:r w:rsidRPr="008C49D1">
        <w:rPr>
          <w:rFonts w:ascii="Open Sans" w:hAnsi="Open Sans" w:cs="Open Sans"/>
          <w:color w:val="000000"/>
          <w:lang w:val="es-UY" w:eastAsia="es-UY"/>
        </w:rPr>
        <w:t>r.</w:t>
      </w:r>
      <w:r w:rsidR="004B3683" w:rsidRPr="008C49D1">
        <w:rPr>
          <w:rFonts w:ascii="Open Sans" w:hAnsi="Open Sans" w:cs="Open Sans"/>
          <w:color w:val="000000"/>
          <w:lang w:val="es-UY" w:eastAsia="es-UY"/>
        </w:rPr>
        <w:t xml:space="preserve"> Oscar N</w:t>
      </w:r>
      <w:r w:rsidRPr="008C49D1">
        <w:rPr>
          <w:rFonts w:ascii="Open Sans" w:hAnsi="Open Sans" w:cs="Open Sans"/>
          <w:color w:val="000000"/>
          <w:lang w:val="es-UY" w:eastAsia="es-UY"/>
        </w:rPr>
        <w:t>oboa</w:t>
      </w:r>
    </w:p>
    <w:p w:rsidR="00840192" w:rsidRPr="008C49D1" w:rsidRDefault="00840192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  <w:r w:rsidRPr="008C49D1">
        <w:rPr>
          <w:rFonts w:ascii="Open Sans" w:hAnsi="Open Sans" w:cs="Open Sans"/>
          <w:color w:val="000000"/>
          <w:lang w:val="es-UY" w:eastAsia="es-UY"/>
        </w:rPr>
        <w:t xml:space="preserve">Prof. Agda. Dra. </w:t>
      </w:r>
      <w:r w:rsidR="004B3683" w:rsidRPr="008C49D1">
        <w:rPr>
          <w:rFonts w:ascii="Open Sans" w:hAnsi="Open Sans" w:cs="Open Sans"/>
          <w:color w:val="000000"/>
          <w:lang w:val="es-UY" w:eastAsia="es-UY"/>
        </w:rPr>
        <w:t>Margarita</w:t>
      </w:r>
      <w:r w:rsidRPr="008C49D1">
        <w:rPr>
          <w:rFonts w:ascii="Open Sans" w:hAnsi="Open Sans" w:cs="Open Sans"/>
          <w:color w:val="000000"/>
          <w:lang w:val="es-UY" w:eastAsia="es-UY"/>
        </w:rPr>
        <w:t xml:space="preserve"> García Fontes                    </w:t>
      </w:r>
      <w:r w:rsidR="004B3683" w:rsidRPr="008C49D1">
        <w:rPr>
          <w:rFonts w:ascii="Open Sans" w:hAnsi="Open Sans" w:cs="Open Sans"/>
          <w:color w:val="000000"/>
          <w:lang w:val="es-UY" w:eastAsia="es-UY"/>
        </w:rPr>
        <w:t>Prof. A</w:t>
      </w:r>
      <w:r w:rsidRPr="008C49D1">
        <w:rPr>
          <w:rFonts w:ascii="Open Sans" w:hAnsi="Open Sans" w:cs="Open Sans"/>
          <w:color w:val="000000"/>
          <w:lang w:val="es-UY" w:eastAsia="es-UY"/>
        </w:rPr>
        <w:t xml:space="preserve">djto. </w:t>
      </w:r>
      <w:r w:rsidR="004B3683" w:rsidRPr="008C49D1">
        <w:rPr>
          <w:rFonts w:ascii="Open Sans" w:hAnsi="Open Sans" w:cs="Open Sans"/>
          <w:color w:val="000000"/>
          <w:lang w:val="es-UY" w:eastAsia="es-UY"/>
        </w:rPr>
        <w:t>Dr.</w:t>
      </w:r>
      <w:r w:rsidRPr="008C49D1">
        <w:rPr>
          <w:rFonts w:ascii="Open Sans" w:hAnsi="Open Sans" w:cs="Open Sans"/>
          <w:color w:val="000000"/>
          <w:lang w:val="es-UY" w:eastAsia="es-UY"/>
        </w:rPr>
        <w:t xml:space="preserve"> </w:t>
      </w:r>
      <w:r w:rsidR="004B3683" w:rsidRPr="008C49D1">
        <w:rPr>
          <w:rFonts w:ascii="Open Sans" w:hAnsi="Open Sans" w:cs="Open Sans"/>
          <w:color w:val="000000"/>
          <w:lang w:val="es-UY" w:eastAsia="es-UY"/>
        </w:rPr>
        <w:t>Alejandro Ferreiro</w:t>
      </w:r>
    </w:p>
    <w:p w:rsidR="004B3683" w:rsidRPr="008C49D1" w:rsidRDefault="004B3683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  <w:r w:rsidRPr="008C49D1">
        <w:rPr>
          <w:rFonts w:ascii="Open Sans" w:hAnsi="Open Sans" w:cs="Open Sans"/>
          <w:color w:val="000000"/>
          <w:lang w:val="es-UY" w:eastAsia="es-UY"/>
        </w:rPr>
        <w:t>C</w:t>
      </w:r>
      <w:r w:rsidR="00840192" w:rsidRPr="008C49D1">
        <w:rPr>
          <w:rFonts w:ascii="Open Sans" w:hAnsi="Open Sans" w:cs="Open Sans"/>
          <w:color w:val="000000"/>
          <w:lang w:val="es-UY" w:eastAsia="es-UY"/>
        </w:rPr>
        <w:t xml:space="preserve">átedra de imagenología                                          </w:t>
      </w:r>
      <w:r w:rsidR="00B83734">
        <w:rPr>
          <w:rFonts w:ascii="Open Sans" w:hAnsi="Open Sans" w:cs="Open Sans"/>
          <w:color w:val="000000"/>
          <w:lang w:val="es-UY" w:eastAsia="es-UY"/>
        </w:rPr>
        <w:t xml:space="preserve">  </w:t>
      </w:r>
      <w:r w:rsidRPr="008C49D1">
        <w:rPr>
          <w:rFonts w:ascii="Open Sans" w:hAnsi="Open Sans" w:cs="Open Sans"/>
          <w:color w:val="000000"/>
          <w:lang w:val="es-UY" w:eastAsia="es-UY"/>
        </w:rPr>
        <w:t>P</w:t>
      </w:r>
      <w:r w:rsidR="00840192" w:rsidRPr="008C49D1">
        <w:rPr>
          <w:rFonts w:ascii="Open Sans" w:hAnsi="Open Sans" w:cs="Open Sans"/>
          <w:color w:val="000000"/>
          <w:lang w:val="es-UY" w:eastAsia="es-UY"/>
        </w:rPr>
        <w:t xml:space="preserve">rof. </w:t>
      </w:r>
      <w:r w:rsidRPr="008C49D1">
        <w:rPr>
          <w:rFonts w:ascii="Open Sans" w:hAnsi="Open Sans" w:cs="Open Sans"/>
          <w:color w:val="000000"/>
          <w:lang w:val="es-UY" w:eastAsia="es-UY"/>
        </w:rPr>
        <w:t>A</w:t>
      </w:r>
      <w:r w:rsidR="00840192" w:rsidRPr="008C49D1">
        <w:rPr>
          <w:rFonts w:ascii="Open Sans" w:hAnsi="Open Sans" w:cs="Open Sans"/>
          <w:color w:val="000000"/>
          <w:lang w:val="es-UY" w:eastAsia="es-UY"/>
        </w:rPr>
        <w:t xml:space="preserve">djto. </w:t>
      </w:r>
      <w:r w:rsidRPr="008C49D1">
        <w:rPr>
          <w:rFonts w:ascii="Open Sans" w:hAnsi="Open Sans" w:cs="Open Sans"/>
          <w:color w:val="000000"/>
          <w:lang w:val="es-UY" w:eastAsia="es-UY"/>
        </w:rPr>
        <w:t>Diego T</w:t>
      </w:r>
      <w:r w:rsidR="00840192" w:rsidRPr="008C49D1">
        <w:rPr>
          <w:rFonts w:ascii="Open Sans" w:hAnsi="Open Sans" w:cs="Open Sans"/>
          <w:color w:val="000000"/>
          <w:lang w:val="es-UY" w:eastAsia="es-UY"/>
        </w:rPr>
        <w:t>obal</w:t>
      </w:r>
    </w:p>
    <w:p w:rsidR="00840192" w:rsidRPr="008C49D1" w:rsidRDefault="004B3683" w:rsidP="00840192">
      <w:pPr>
        <w:adjustRightInd w:val="0"/>
        <w:rPr>
          <w:rFonts w:ascii="Open Sans" w:hAnsi="Open Sans" w:cs="Open Sans"/>
          <w:color w:val="000000"/>
          <w:lang w:val="es-UY" w:eastAsia="es-UY"/>
        </w:rPr>
      </w:pPr>
      <w:r w:rsidRPr="008C49D1">
        <w:rPr>
          <w:rFonts w:ascii="Open Sans" w:hAnsi="Open Sans" w:cs="Open Sans"/>
          <w:color w:val="000000"/>
          <w:lang w:val="es-UY" w:eastAsia="es-UY"/>
        </w:rPr>
        <w:t>H</w:t>
      </w:r>
      <w:r w:rsidR="00840192" w:rsidRPr="008C49D1">
        <w:rPr>
          <w:rFonts w:ascii="Open Sans" w:hAnsi="Open Sans" w:cs="Open Sans"/>
          <w:color w:val="000000"/>
          <w:lang w:val="es-UY" w:eastAsia="es-UY"/>
        </w:rPr>
        <w:t xml:space="preserve">ospital de </w:t>
      </w:r>
      <w:r w:rsidRPr="008C49D1">
        <w:rPr>
          <w:rFonts w:ascii="Open Sans" w:hAnsi="Open Sans" w:cs="Open Sans"/>
          <w:color w:val="000000"/>
          <w:lang w:val="es-UY" w:eastAsia="es-UY"/>
        </w:rPr>
        <w:t>C</w:t>
      </w:r>
      <w:r w:rsidR="00840192" w:rsidRPr="008C49D1">
        <w:rPr>
          <w:rFonts w:ascii="Open Sans" w:hAnsi="Open Sans" w:cs="Open Sans"/>
          <w:color w:val="000000"/>
          <w:lang w:val="es-UY" w:eastAsia="es-UY"/>
        </w:rPr>
        <w:t xml:space="preserve">línicas </w:t>
      </w:r>
      <w:r w:rsidRPr="008C49D1">
        <w:rPr>
          <w:rFonts w:ascii="Open Sans" w:hAnsi="Open Sans" w:cs="Open Sans"/>
          <w:color w:val="000000"/>
          <w:lang w:val="es-UY" w:eastAsia="es-UY"/>
        </w:rPr>
        <w:t>D</w:t>
      </w:r>
      <w:r w:rsidR="00840192" w:rsidRPr="008C49D1">
        <w:rPr>
          <w:rFonts w:ascii="Open Sans" w:hAnsi="Open Sans" w:cs="Open Sans"/>
          <w:color w:val="000000"/>
          <w:lang w:val="es-UY" w:eastAsia="es-UY"/>
        </w:rPr>
        <w:t xml:space="preserve">r. </w:t>
      </w:r>
      <w:r w:rsidRPr="008C49D1">
        <w:rPr>
          <w:rFonts w:ascii="Open Sans" w:hAnsi="Open Sans" w:cs="Open Sans"/>
          <w:color w:val="000000"/>
          <w:lang w:val="es-UY" w:eastAsia="es-UY"/>
        </w:rPr>
        <w:t>M</w:t>
      </w:r>
      <w:r w:rsidR="00840192" w:rsidRPr="008C49D1">
        <w:rPr>
          <w:rFonts w:ascii="Open Sans" w:hAnsi="Open Sans" w:cs="Open Sans"/>
          <w:color w:val="000000"/>
          <w:lang w:val="es-UY" w:eastAsia="es-UY"/>
        </w:rPr>
        <w:t xml:space="preserve">anuel </w:t>
      </w:r>
      <w:r w:rsidRPr="008C49D1">
        <w:rPr>
          <w:rFonts w:ascii="Open Sans" w:hAnsi="Open Sans" w:cs="Open Sans"/>
          <w:color w:val="000000"/>
          <w:lang w:val="es-UY" w:eastAsia="es-UY"/>
        </w:rPr>
        <w:t>Q</w:t>
      </w:r>
      <w:r w:rsidR="00840192" w:rsidRPr="008C49D1">
        <w:rPr>
          <w:rFonts w:ascii="Open Sans" w:hAnsi="Open Sans" w:cs="Open Sans"/>
          <w:color w:val="000000"/>
          <w:lang w:val="es-UY" w:eastAsia="es-UY"/>
        </w:rPr>
        <w:t>uintel</w:t>
      </w:r>
      <w:r w:rsidR="00B83734">
        <w:rPr>
          <w:rFonts w:ascii="Open Sans" w:hAnsi="Open Sans" w:cs="Open Sans"/>
          <w:color w:val="000000"/>
          <w:lang w:val="es-UY" w:eastAsia="es-UY"/>
        </w:rPr>
        <w:t xml:space="preserve">a                    </w:t>
      </w:r>
      <w:r w:rsidRPr="008C49D1">
        <w:rPr>
          <w:rFonts w:ascii="Open Sans" w:hAnsi="Open Sans" w:cs="Open Sans"/>
          <w:color w:val="000000"/>
          <w:lang w:val="es-UY" w:eastAsia="es-UY"/>
        </w:rPr>
        <w:t>C</w:t>
      </w:r>
      <w:r w:rsidR="00840192" w:rsidRPr="008C49D1">
        <w:rPr>
          <w:rFonts w:ascii="Open Sans" w:hAnsi="Open Sans" w:cs="Open Sans"/>
          <w:color w:val="000000"/>
          <w:lang w:val="es-UY" w:eastAsia="es-UY"/>
        </w:rPr>
        <w:t>entro de nefrología</w:t>
      </w:r>
    </w:p>
    <w:p w:rsidR="004B3683" w:rsidRPr="008C49D1" w:rsidRDefault="008C49D1" w:rsidP="008C49D1">
      <w:pPr>
        <w:adjustRightInd w:val="0"/>
        <w:rPr>
          <w:rFonts w:ascii="Open Sans" w:hAnsi="Open Sans" w:cs="Open Sans"/>
          <w:color w:val="000000"/>
          <w:lang w:val="es-UY" w:eastAsia="es-UY"/>
        </w:rPr>
      </w:pPr>
      <w:r>
        <w:rPr>
          <w:rFonts w:ascii="Open Sans" w:hAnsi="Open Sans" w:cs="Open Sans"/>
          <w:color w:val="000000"/>
          <w:lang w:val="es-UY" w:eastAsia="es-UY"/>
        </w:rPr>
        <w:t xml:space="preserve">                                                             </w:t>
      </w:r>
      <w:r w:rsidR="00B83734">
        <w:rPr>
          <w:rFonts w:ascii="Open Sans" w:hAnsi="Open Sans" w:cs="Open Sans"/>
          <w:color w:val="000000"/>
          <w:lang w:val="es-UY" w:eastAsia="es-UY"/>
        </w:rPr>
        <w:t xml:space="preserve">                       </w:t>
      </w:r>
      <w:r w:rsidR="004B3683" w:rsidRPr="008C49D1">
        <w:rPr>
          <w:rFonts w:ascii="Open Sans" w:hAnsi="Open Sans" w:cs="Open Sans"/>
          <w:color w:val="000000"/>
          <w:lang w:val="es-UY" w:eastAsia="es-UY"/>
        </w:rPr>
        <w:t xml:space="preserve">Hospital de Clínicas Dr. Manuel Quintela                                           </w:t>
      </w:r>
      <w:r w:rsidR="00840192" w:rsidRPr="008C49D1">
        <w:rPr>
          <w:rFonts w:ascii="Open Sans" w:hAnsi="Open Sans" w:cs="Open Sans"/>
          <w:color w:val="000000"/>
          <w:lang w:val="es-UY" w:eastAsia="es-UY"/>
        </w:rPr>
        <w:t xml:space="preserve">                                                                                                    </w:t>
      </w:r>
      <w:r w:rsidR="004B3683" w:rsidRPr="008C49D1">
        <w:rPr>
          <w:rFonts w:ascii="Open Sans" w:hAnsi="Open Sans" w:cs="Open Sans"/>
          <w:color w:val="000000"/>
          <w:lang w:val="es-UY" w:eastAsia="es-UY"/>
        </w:rPr>
        <w:t xml:space="preserve">          </w:t>
      </w:r>
    </w:p>
    <w:p w:rsidR="004B3683" w:rsidRPr="008C49D1" w:rsidRDefault="004B3683" w:rsidP="004B3683">
      <w:pPr>
        <w:adjustRightInd w:val="0"/>
        <w:ind w:left="5664"/>
        <w:rPr>
          <w:rFonts w:ascii="Open Sans" w:hAnsi="Open Sans" w:cs="Open Sans"/>
          <w:color w:val="000000"/>
          <w:lang w:val="es-UY" w:eastAsia="es-UY"/>
        </w:rPr>
      </w:pPr>
    </w:p>
    <w:p w:rsidR="004B3683" w:rsidRPr="008C49D1" w:rsidRDefault="004B3683" w:rsidP="004B3683">
      <w:pPr>
        <w:adjustRightInd w:val="0"/>
        <w:ind w:left="5664"/>
        <w:rPr>
          <w:rFonts w:ascii="Open Sans" w:hAnsi="Open Sans" w:cs="Open Sans"/>
          <w:color w:val="000000"/>
          <w:lang w:val="es-UY" w:eastAsia="es-UY"/>
        </w:rPr>
      </w:pPr>
    </w:p>
    <w:p w:rsidR="00972183" w:rsidRPr="008C49D1" w:rsidRDefault="00972183" w:rsidP="00972183">
      <w:pPr>
        <w:tabs>
          <w:tab w:val="center" w:pos="4252"/>
          <w:tab w:val="right" w:pos="8504"/>
        </w:tabs>
        <w:jc w:val="center"/>
        <w:rPr>
          <w:rFonts w:ascii="Open Sans" w:hAnsi="Open Sans" w:cs="Open Sans"/>
          <w:sz w:val="16"/>
          <w:szCs w:val="16"/>
        </w:rPr>
      </w:pPr>
    </w:p>
    <w:p w:rsidR="00840192" w:rsidRDefault="00840192" w:rsidP="003E519D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9A5DC9" w:rsidRDefault="009A5DC9" w:rsidP="003E519D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9A5DC9" w:rsidRDefault="009A5DC9" w:rsidP="003E519D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9A5DC9" w:rsidRDefault="009A5DC9" w:rsidP="003E519D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9A5DC9" w:rsidRDefault="009A5DC9" w:rsidP="003E519D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9A5DC9" w:rsidRDefault="009A5DC9" w:rsidP="003E519D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9A5DC9" w:rsidRDefault="009A5DC9" w:rsidP="003E519D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9A5DC9" w:rsidRDefault="009A5DC9" w:rsidP="003E519D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9A5DC9" w:rsidRDefault="009A5DC9" w:rsidP="003E519D">
      <w:pPr>
        <w:adjustRightInd w:val="0"/>
        <w:rPr>
          <w:rFonts w:ascii="Open Sans" w:hAnsi="Open Sans" w:cs="Open Sans"/>
          <w:color w:val="000000"/>
          <w:lang w:val="es-UY" w:eastAsia="es-UY"/>
        </w:rPr>
      </w:pPr>
    </w:p>
    <w:p w:rsidR="009A5DC9" w:rsidRPr="009A5DC9" w:rsidRDefault="009A5DC9" w:rsidP="009A5DC9">
      <w:pPr>
        <w:tabs>
          <w:tab w:val="left" w:pos="1495"/>
        </w:tabs>
        <w:suppressAutoHyphens/>
        <w:autoSpaceDE/>
        <w:autoSpaceDN/>
        <w:spacing w:after="120"/>
        <w:jc w:val="center"/>
        <w:rPr>
          <w:rFonts w:ascii="Open Sans" w:hAnsi="Open Sans" w:cs="Open Sans"/>
          <w:bCs/>
          <w:sz w:val="16"/>
          <w:szCs w:val="16"/>
          <w:lang w:eastAsia="ar-SA"/>
        </w:rPr>
      </w:pPr>
      <w:r w:rsidRPr="009A5DC9">
        <w:rPr>
          <w:rFonts w:ascii="Open Sans" w:hAnsi="Open Sans" w:cs="Open Sans"/>
          <w:bCs/>
          <w:sz w:val="16"/>
          <w:szCs w:val="16"/>
          <w:lang w:eastAsia="ar-SA"/>
        </w:rPr>
        <w:t>Av. 18 de Julio 1892. Planta Baja Oficina 06. Teléfono 1934 3060</w:t>
      </w:r>
    </w:p>
    <w:p w:rsidR="009A5DC9" w:rsidRPr="009A5DC9" w:rsidRDefault="009A5DC9" w:rsidP="009A5DC9">
      <w:pPr>
        <w:tabs>
          <w:tab w:val="left" w:pos="1495"/>
        </w:tabs>
        <w:suppressAutoHyphens/>
        <w:autoSpaceDE/>
        <w:autoSpaceDN/>
        <w:spacing w:after="120"/>
        <w:jc w:val="center"/>
        <w:rPr>
          <w:rFonts w:ascii="Open Sans" w:hAnsi="Open Sans" w:cs="Open Sans"/>
          <w:bCs/>
          <w:color w:val="0563C1"/>
          <w:sz w:val="16"/>
          <w:szCs w:val="16"/>
          <w:u w:val="single"/>
          <w:lang w:eastAsia="ar-SA"/>
        </w:rPr>
      </w:pPr>
      <w:r w:rsidRPr="009A5DC9">
        <w:rPr>
          <w:rFonts w:ascii="Open Sans" w:hAnsi="Open Sans" w:cs="Open Sans"/>
          <w:bCs/>
          <w:sz w:val="16"/>
          <w:szCs w:val="16"/>
          <w:lang w:eastAsia="ar-SA"/>
        </w:rPr>
        <w:t xml:space="preserve">Correo electrónico: </w:t>
      </w:r>
      <w:hyperlink r:id="rId7" w:history="1">
        <w:r w:rsidRPr="009A5DC9">
          <w:rPr>
            <w:rFonts w:ascii="Open Sans" w:hAnsi="Open Sans" w:cs="Open Sans"/>
            <w:bCs/>
            <w:color w:val="0563C1"/>
            <w:sz w:val="16"/>
            <w:szCs w:val="16"/>
            <w:u w:val="single"/>
            <w:lang w:eastAsia="ar-SA"/>
          </w:rPr>
          <w:t>farmacovigilancia@msp.gub.uy</w:t>
        </w:r>
      </w:hyperlink>
    </w:p>
    <w:p w:rsidR="009A5DC9" w:rsidRDefault="009A5DC9" w:rsidP="003E519D">
      <w:pPr>
        <w:adjustRightInd w:val="0"/>
        <w:rPr>
          <w:rFonts w:ascii="Open Sans" w:hAnsi="Open Sans" w:cs="Open Sans"/>
          <w:color w:val="000000"/>
          <w:lang w:eastAsia="es-UY"/>
        </w:rPr>
      </w:pPr>
    </w:p>
    <w:p w:rsidR="009A5DC9" w:rsidRDefault="009A5DC9" w:rsidP="003E519D">
      <w:pPr>
        <w:adjustRightInd w:val="0"/>
        <w:rPr>
          <w:rFonts w:ascii="Open Sans" w:hAnsi="Open Sans" w:cs="Open Sans"/>
          <w:color w:val="000000"/>
          <w:lang w:eastAsia="es-UY"/>
        </w:rPr>
      </w:pPr>
    </w:p>
    <w:sectPr w:rsidR="009A5DC9" w:rsidSect="000E474A">
      <w:headerReference w:type="default" r:id="rId8"/>
      <w:footerReference w:type="default" r:id="rId9"/>
      <w:pgSz w:w="11907" w:h="16840" w:code="9"/>
      <w:pgMar w:top="1134" w:right="992" w:bottom="1135" w:left="1418" w:header="709" w:footer="556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E5C" w:rsidRDefault="00950E5C">
      <w:r>
        <w:separator/>
      </w:r>
    </w:p>
  </w:endnote>
  <w:endnote w:type="continuationSeparator" w:id="0">
    <w:p w:rsidR="00950E5C" w:rsidRDefault="0095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336" w:rsidRDefault="00034336" w:rsidP="00D4217F">
    <w:pPr>
      <w:tabs>
        <w:tab w:val="center" w:pos="4252"/>
        <w:tab w:val="right" w:pos="8504"/>
      </w:tabs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E5C" w:rsidRDefault="00950E5C">
      <w:r>
        <w:separator/>
      </w:r>
    </w:p>
  </w:footnote>
  <w:footnote w:type="continuationSeparator" w:id="0">
    <w:p w:rsidR="00950E5C" w:rsidRDefault="00950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2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66"/>
      <w:gridCol w:w="5106"/>
      <w:gridCol w:w="2553"/>
    </w:tblGrid>
    <w:tr w:rsidR="00CA2E27" w:rsidTr="000516B9">
      <w:trPr>
        <w:trHeight w:val="880"/>
        <w:jc w:val="center"/>
      </w:trPr>
      <w:tc>
        <w:tcPr>
          <w:tcW w:w="216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</w:tcPr>
        <w:p w:rsidR="00CA2E27" w:rsidRDefault="007D47A0" w:rsidP="000516B9">
          <w:pPr>
            <w:keepNext/>
            <w:suppressAutoHyphens/>
            <w:overflowPunct w:val="0"/>
            <w:autoSpaceDN/>
            <w:jc w:val="center"/>
            <w:textAlignment w:val="baseline"/>
            <w:rPr>
              <w:rFonts w:ascii="Verdana" w:hAnsi="Verdana" w:cs="Verdana"/>
              <w:lang w:val="es-ES" w:eastAsia="ar-SA"/>
            </w:rPr>
          </w:pPr>
          <w:r>
            <w:rPr>
              <w:rFonts w:ascii="Verdana" w:hAnsi="Verdana" w:cs="Verdana"/>
              <w:noProof/>
              <w:lang w:val="es-UY" w:eastAsia="es-UY"/>
            </w:rPr>
            <w:drawing>
              <wp:inline distT="0" distB="0" distL="0" distR="0">
                <wp:extent cx="836930" cy="1021080"/>
                <wp:effectExtent l="0" t="0" r="1270" b="762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930" cy="1021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51F26" w:rsidRPr="008C49D1" w:rsidRDefault="00F313B6" w:rsidP="00FD3E3B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b/>
              <w:lang w:val="es-UY" w:eastAsia="ar-SA"/>
            </w:rPr>
          </w:pPr>
          <w:r w:rsidRPr="008C49D1">
            <w:rPr>
              <w:rFonts w:ascii="Open Sans" w:hAnsi="Open Sans" w:cs="Open Sans"/>
              <w:b/>
              <w:lang w:val="es-UY" w:eastAsia="ar-SA"/>
            </w:rPr>
            <w:t>Dirección General de Salud</w:t>
          </w:r>
        </w:p>
        <w:p w:rsidR="00FD3E3B" w:rsidRPr="008C49D1" w:rsidRDefault="00FD3E3B" w:rsidP="00FD3E3B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b/>
              <w:lang w:val="es-UY" w:eastAsia="ar-SA"/>
            </w:rPr>
          </w:pPr>
          <w:r w:rsidRPr="008C49D1">
            <w:rPr>
              <w:rFonts w:ascii="Open Sans" w:hAnsi="Open Sans" w:cs="Open Sans"/>
              <w:b/>
              <w:lang w:val="es-UY" w:eastAsia="ar-SA"/>
            </w:rPr>
            <w:t>Departamento de Medicamentos</w:t>
          </w:r>
        </w:p>
        <w:p w:rsidR="00C57DD6" w:rsidRPr="008C49D1" w:rsidRDefault="00FD3E3B" w:rsidP="00FD3E3B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b/>
              <w:lang w:val="es-UY" w:eastAsia="ar-SA"/>
            </w:rPr>
          </w:pPr>
          <w:r w:rsidRPr="008C49D1">
            <w:rPr>
              <w:rFonts w:ascii="Open Sans" w:hAnsi="Open Sans" w:cs="Open Sans"/>
              <w:b/>
              <w:lang w:val="es-UY" w:eastAsia="ar-SA"/>
            </w:rPr>
            <w:t xml:space="preserve">Unidad de </w:t>
          </w:r>
          <w:r w:rsidR="00C57DD6" w:rsidRPr="008C49D1">
            <w:rPr>
              <w:rFonts w:ascii="Open Sans" w:hAnsi="Open Sans" w:cs="Open Sans"/>
              <w:b/>
              <w:lang w:val="es-UY" w:eastAsia="ar-SA"/>
            </w:rPr>
            <w:t>Farmacovigilancia</w:t>
          </w:r>
        </w:p>
        <w:p w:rsidR="00CA2E27" w:rsidRPr="008C49D1" w:rsidRDefault="00CA2E27" w:rsidP="00FD3E3B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b/>
              <w:lang w:val="es-UY" w:eastAsia="ar-SA"/>
            </w:rPr>
          </w:pPr>
          <w:r w:rsidRPr="008C49D1">
            <w:rPr>
              <w:rFonts w:ascii="Open Sans" w:hAnsi="Open Sans" w:cs="Open Sans"/>
              <w:lang w:val="es-ES" w:eastAsia="ar-SA"/>
            </w:rPr>
            <w:t xml:space="preserve">Formulario </w:t>
          </w:r>
          <w:r w:rsidR="00911462" w:rsidRPr="008C49D1">
            <w:rPr>
              <w:rFonts w:ascii="Open Sans" w:hAnsi="Open Sans" w:cs="Open Sans"/>
              <w:lang w:val="es-ES" w:eastAsia="ar-SA"/>
            </w:rPr>
            <w:t xml:space="preserve">de </w:t>
          </w:r>
          <w:r w:rsidR="00C51F26" w:rsidRPr="008C49D1">
            <w:rPr>
              <w:rFonts w:ascii="Open Sans" w:hAnsi="Open Sans" w:cs="Open Sans"/>
              <w:lang w:val="es-ES" w:eastAsia="ar-SA"/>
            </w:rPr>
            <w:t>Protocolo de Preparación de Pacientes que recibirán Medio de Contraste</w:t>
          </w: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A2E27" w:rsidRPr="008C49D1" w:rsidRDefault="00CA2E27" w:rsidP="00FD3E3B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 w:rsidRPr="008C49D1">
            <w:rPr>
              <w:rFonts w:ascii="Open Sans" w:hAnsi="Open Sans" w:cs="Open Sans"/>
              <w:lang w:val="es-UY" w:eastAsia="ar-SA"/>
            </w:rPr>
            <w:t>FO- 13221-0</w:t>
          </w:r>
          <w:r w:rsidR="00636A30" w:rsidRPr="008C49D1">
            <w:rPr>
              <w:rFonts w:ascii="Open Sans" w:hAnsi="Open Sans" w:cs="Open Sans"/>
              <w:lang w:val="es-UY" w:eastAsia="ar-SA"/>
            </w:rPr>
            <w:t>14</w:t>
          </w:r>
        </w:p>
        <w:p w:rsidR="00FD3E3B" w:rsidRPr="008C49D1" w:rsidRDefault="009A5DC9" w:rsidP="00FD3E3B">
          <w:pPr>
            <w:keepNext/>
            <w:suppressAutoHyphens/>
            <w:overflowPunct w:val="0"/>
            <w:autoSpaceDN/>
            <w:spacing w:before="120" w:after="120"/>
            <w:jc w:val="center"/>
            <w:textAlignment w:val="baseline"/>
            <w:rPr>
              <w:rFonts w:ascii="Open Sans" w:hAnsi="Open Sans" w:cs="Open Sans"/>
              <w:lang w:val="es-UY" w:eastAsia="ar-SA"/>
            </w:rPr>
          </w:pPr>
          <w:r>
            <w:rPr>
              <w:rFonts w:ascii="Open Sans" w:hAnsi="Open Sans" w:cs="Open Sans"/>
              <w:lang w:val="es-UY" w:eastAsia="ar-SA"/>
            </w:rPr>
            <w:t>Versión 2</w:t>
          </w:r>
        </w:p>
      </w:tc>
    </w:tr>
    <w:tr w:rsidR="00CA2E27" w:rsidTr="00CA2E27">
      <w:trPr>
        <w:trHeight w:val="921"/>
        <w:jc w:val="center"/>
      </w:trPr>
      <w:tc>
        <w:tcPr>
          <w:tcW w:w="216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A2E27" w:rsidRDefault="00CA2E27">
          <w:pPr>
            <w:autoSpaceDE/>
            <w:autoSpaceDN/>
            <w:rPr>
              <w:rFonts w:ascii="Verdana" w:hAnsi="Verdana" w:cs="Verdana"/>
              <w:lang w:val="es-ES" w:eastAsia="ar-SA"/>
            </w:rPr>
          </w:pPr>
        </w:p>
      </w:tc>
      <w:tc>
        <w:tcPr>
          <w:tcW w:w="510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:rsidR="00CA2E27" w:rsidRPr="008C49D1" w:rsidRDefault="00CA2E27">
          <w:pPr>
            <w:autoSpaceDE/>
            <w:autoSpaceDN/>
            <w:rPr>
              <w:rFonts w:ascii="Open Sans" w:hAnsi="Open Sans" w:cs="Open Sans"/>
              <w:b/>
              <w:lang w:val="es-UY" w:eastAsia="ar-SA"/>
            </w:rPr>
          </w:pPr>
        </w:p>
      </w:tc>
      <w:tc>
        <w:tcPr>
          <w:tcW w:w="255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CA2E27" w:rsidRPr="008C49D1" w:rsidRDefault="00CA2E27">
          <w:pPr>
            <w:keepNext/>
            <w:suppressAutoHyphens/>
            <w:overflowPunct w:val="0"/>
            <w:autoSpaceDN/>
            <w:spacing w:before="240" w:after="120"/>
            <w:jc w:val="center"/>
            <w:textAlignment w:val="baseline"/>
            <w:rPr>
              <w:rFonts w:ascii="Open Sans" w:hAnsi="Open Sans" w:cs="Open Sans"/>
              <w:sz w:val="16"/>
              <w:szCs w:val="16"/>
              <w:lang w:val="es-ES" w:eastAsia="ar-SA"/>
            </w:rPr>
          </w:pPr>
          <w:r w:rsidRPr="008C49D1">
            <w:rPr>
              <w:rFonts w:ascii="Open Sans" w:hAnsi="Open Sans" w:cs="Open Sans"/>
              <w:sz w:val="16"/>
              <w:szCs w:val="16"/>
              <w:lang w:val="es-UY" w:eastAsia="ar-SA"/>
            </w:rPr>
            <w:t>Página</w:t>
          </w:r>
          <w:r w:rsidRPr="008C49D1">
            <w:rPr>
              <w:rFonts w:ascii="Open Sans" w:hAnsi="Open Sans" w:cs="Open Sans"/>
              <w:b/>
              <w:sz w:val="16"/>
              <w:szCs w:val="16"/>
              <w:lang w:val="es-UY" w:eastAsia="ar-SA"/>
            </w:rPr>
            <w:t xml:space="preserve"> </w:t>
          </w:r>
          <w:r w:rsidRPr="008C49D1">
            <w:rPr>
              <w:rFonts w:ascii="Open Sans" w:hAnsi="Open Sans" w:cs="Open Sans"/>
              <w:sz w:val="16"/>
              <w:szCs w:val="16"/>
              <w:lang w:val="es-UY" w:eastAsia="ar-SA"/>
            </w:rPr>
            <w:fldChar w:fldCharType="begin"/>
          </w:r>
          <w:r w:rsidRPr="008C49D1">
            <w:rPr>
              <w:rFonts w:ascii="Open Sans" w:hAnsi="Open Sans" w:cs="Open Sans"/>
              <w:sz w:val="16"/>
              <w:szCs w:val="16"/>
              <w:lang w:val="es-UY" w:eastAsia="ar-SA"/>
            </w:rPr>
            <w:instrText xml:space="preserve"> PAGE </w:instrText>
          </w:r>
          <w:r w:rsidRPr="008C49D1">
            <w:rPr>
              <w:rFonts w:ascii="Open Sans" w:hAnsi="Open Sans" w:cs="Open Sans"/>
              <w:sz w:val="16"/>
              <w:szCs w:val="16"/>
              <w:lang w:val="es-UY" w:eastAsia="ar-SA"/>
            </w:rPr>
            <w:fldChar w:fldCharType="separate"/>
          </w:r>
          <w:r w:rsidR="007D47A0">
            <w:rPr>
              <w:rFonts w:ascii="Open Sans" w:hAnsi="Open Sans" w:cs="Open Sans"/>
              <w:noProof/>
              <w:sz w:val="16"/>
              <w:szCs w:val="16"/>
              <w:lang w:val="es-UY" w:eastAsia="ar-SA"/>
            </w:rPr>
            <w:t>1</w:t>
          </w:r>
          <w:r w:rsidRPr="008C49D1">
            <w:rPr>
              <w:rFonts w:ascii="Open Sans" w:hAnsi="Open Sans" w:cs="Open Sans"/>
              <w:sz w:val="16"/>
              <w:szCs w:val="16"/>
              <w:lang w:val="es-UY" w:eastAsia="ar-SA"/>
            </w:rPr>
            <w:fldChar w:fldCharType="end"/>
          </w:r>
          <w:r w:rsidRPr="008C49D1">
            <w:rPr>
              <w:rFonts w:ascii="Open Sans" w:hAnsi="Open Sans" w:cs="Open Sans"/>
              <w:sz w:val="16"/>
              <w:szCs w:val="16"/>
              <w:lang w:val="es-UY" w:eastAsia="ar-SA"/>
            </w:rPr>
            <w:t xml:space="preserve"> de </w:t>
          </w:r>
          <w:r w:rsidRPr="008C49D1">
            <w:rPr>
              <w:rFonts w:ascii="Open Sans" w:hAnsi="Open Sans" w:cs="Open Sans"/>
              <w:sz w:val="16"/>
              <w:szCs w:val="16"/>
              <w:lang w:val="es-UY" w:eastAsia="ar-SA"/>
            </w:rPr>
            <w:fldChar w:fldCharType="begin"/>
          </w:r>
          <w:r w:rsidRPr="008C49D1">
            <w:rPr>
              <w:rFonts w:ascii="Open Sans" w:hAnsi="Open Sans" w:cs="Open Sans"/>
              <w:sz w:val="16"/>
              <w:szCs w:val="16"/>
              <w:lang w:val="es-UY" w:eastAsia="ar-SA"/>
            </w:rPr>
            <w:instrText xml:space="preserve"> NUMPAGES </w:instrText>
          </w:r>
          <w:r w:rsidRPr="008C49D1">
            <w:rPr>
              <w:rFonts w:ascii="Open Sans" w:hAnsi="Open Sans" w:cs="Open Sans"/>
              <w:sz w:val="16"/>
              <w:szCs w:val="16"/>
              <w:lang w:val="es-UY" w:eastAsia="ar-SA"/>
            </w:rPr>
            <w:fldChar w:fldCharType="separate"/>
          </w:r>
          <w:r w:rsidR="007D47A0">
            <w:rPr>
              <w:rFonts w:ascii="Open Sans" w:hAnsi="Open Sans" w:cs="Open Sans"/>
              <w:noProof/>
              <w:sz w:val="16"/>
              <w:szCs w:val="16"/>
              <w:lang w:val="es-UY" w:eastAsia="ar-SA"/>
            </w:rPr>
            <w:t>5</w:t>
          </w:r>
          <w:r w:rsidRPr="008C49D1">
            <w:rPr>
              <w:rFonts w:ascii="Open Sans" w:hAnsi="Open Sans" w:cs="Open Sans"/>
              <w:sz w:val="16"/>
              <w:szCs w:val="16"/>
              <w:lang w:val="es-UY" w:eastAsia="ar-SA"/>
            </w:rPr>
            <w:fldChar w:fldCharType="end"/>
          </w:r>
        </w:p>
      </w:tc>
    </w:tr>
  </w:tbl>
  <w:p w:rsidR="00904643" w:rsidRPr="00824AD8" w:rsidRDefault="00904643" w:rsidP="00824AD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37F7"/>
    <w:multiLevelType w:val="hybridMultilevel"/>
    <w:tmpl w:val="8646AD3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2E6582"/>
    <w:multiLevelType w:val="hybridMultilevel"/>
    <w:tmpl w:val="05FCD74E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08DD2B14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4611"/>
    <w:multiLevelType w:val="hybridMultilevel"/>
    <w:tmpl w:val="27984E72"/>
    <w:lvl w:ilvl="0" w:tplc="7EF4ED90">
      <w:start w:val="8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17747DC4"/>
    <w:multiLevelType w:val="hybridMultilevel"/>
    <w:tmpl w:val="2A02F6BC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 w15:restartNumberingAfterBreak="0">
    <w:nsid w:val="17802E33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7303B"/>
    <w:multiLevelType w:val="hybridMultilevel"/>
    <w:tmpl w:val="2C8C630A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 w15:restartNumberingAfterBreak="0">
    <w:nsid w:val="28AE609C"/>
    <w:multiLevelType w:val="hybridMultilevel"/>
    <w:tmpl w:val="1088B1CE"/>
    <w:lvl w:ilvl="0" w:tplc="7EF4ED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8" w15:restartNumberingAfterBreak="0">
    <w:nsid w:val="2F3137AA"/>
    <w:multiLevelType w:val="hybridMultilevel"/>
    <w:tmpl w:val="820A3CF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B44196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C2099"/>
    <w:multiLevelType w:val="hybridMultilevel"/>
    <w:tmpl w:val="B3B826A8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8F65BC"/>
    <w:multiLevelType w:val="hybridMultilevel"/>
    <w:tmpl w:val="704C922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F276D8"/>
    <w:multiLevelType w:val="hybridMultilevel"/>
    <w:tmpl w:val="219E2DF4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3" w15:restartNumberingAfterBreak="0">
    <w:nsid w:val="566C414F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97A24"/>
    <w:multiLevelType w:val="hybridMultilevel"/>
    <w:tmpl w:val="2FF06D76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5" w15:restartNumberingAfterBreak="0">
    <w:nsid w:val="5BCF59DD"/>
    <w:multiLevelType w:val="hybridMultilevel"/>
    <w:tmpl w:val="9F2CE130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6" w15:restartNumberingAfterBreak="0">
    <w:nsid w:val="65E26153"/>
    <w:multiLevelType w:val="hybridMultilevel"/>
    <w:tmpl w:val="8E2A64A6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03F9E"/>
    <w:multiLevelType w:val="hybridMultilevel"/>
    <w:tmpl w:val="8474DA9C"/>
    <w:lvl w:ilvl="0" w:tplc="7EF4ED9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 w15:restartNumberingAfterBreak="0">
    <w:nsid w:val="6A0A4FDA"/>
    <w:multiLevelType w:val="hybridMultilevel"/>
    <w:tmpl w:val="704C9224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52C9B"/>
    <w:multiLevelType w:val="hybridMultilevel"/>
    <w:tmpl w:val="E2961216"/>
    <w:lvl w:ilvl="0" w:tplc="0C0A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 w15:restartNumberingAfterBreak="0">
    <w:nsid w:val="71941876"/>
    <w:multiLevelType w:val="hybridMultilevel"/>
    <w:tmpl w:val="29B2058C"/>
    <w:lvl w:ilvl="0" w:tplc="7EF4ED9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1" w15:restartNumberingAfterBreak="0">
    <w:nsid w:val="756F7991"/>
    <w:multiLevelType w:val="hybridMultilevel"/>
    <w:tmpl w:val="0EDEA3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B430C"/>
    <w:multiLevelType w:val="hybridMultilevel"/>
    <w:tmpl w:val="F02C7CF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46FB9"/>
    <w:multiLevelType w:val="multilevel"/>
    <w:tmpl w:val="8790112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624"/>
      </w:pPr>
      <w:rPr>
        <w:rFonts w:cs="Times New Roman" w:hint="default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742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7F61028E"/>
    <w:multiLevelType w:val="hybridMultilevel"/>
    <w:tmpl w:val="75AE1372"/>
    <w:lvl w:ilvl="0" w:tplc="7EF4ED9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4"/>
  </w:num>
  <w:num w:numId="3">
    <w:abstractNumId w:val="6"/>
  </w:num>
  <w:num w:numId="4">
    <w:abstractNumId w:val="19"/>
  </w:num>
  <w:num w:numId="5">
    <w:abstractNumId w:val="21"/>
  </w:num>
  <w:num w:numId="6">
    <w:abstractNumId w:val="15"/>
  </w:num>
  <w:num w:numId="7">
    <w:abstractNumId w:val="12"/>
  </w:num>
  <w:num w:numId="8">
    <w:abstractNumId w:val="4"/>
  </w:num>
  <w:num w:numId="9">
    <w:abstractNumId w:val="1"/>
  </w:num>
  <w:num w:numId="10">
    <w:abstractNumId w:val="7"/>
  </w:num>
  <w:num w:numId="11">
    <w:abstractNumId w:val="17"/>
  </w:num>
  <w:num w:numId="12">
    <w:abstractNumId w:val="20"/>
  </w:num>
  <w:num w:numId="13">
    <w:abstractNumId w:val="0"/>
  </w:num>
  <w:num w:numId="14">
    <w:abstractNumId w:val="24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5"/>
  </w:num>
  <w:num w:numId="20">
    <w:abstractNumId w:val="9"/>
  </w:num>
  <w:num w:numId="21">
    <w:abstractNumId w:val="22"/>
  </w:num>
  <w:num w:numId="22">
    <w:abstractNumId w:val="16"/>
  </w:num>
  <w:num w:numId="23">
    <w:abstractNumId w:val="13"/>
  </w:num>
  <w:num w:numId="24">
    <w:abstractNumId w:val="18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A6"/>
    <w:rsid w:val="00031568"/>
    <w:rsid w:val="00034336"/>
    <w:rsid w:val="000375CE"/>
    <w:rsid w:val="00043D07"/>
    <w:rsid w:val="00047143"/>
    <w:rsid w:val="000516B9"/>
    <w:rsid w:val="00052887"/>
    <w:rsid w:val="0005755F"/>
    <w:rsid w:val="00064D8C"/>
    <w:rsid w:val="00072D84"/>
    <w:rsid w:val="000A30E5"/>
    <w:rsid w:val="000B09DE"/>
    <w:rsid w:val="000B5FDC"/>
    <w:rsid w:val="000B611D"/>
    <w:rsid w:val="000D63FA"/>
    <w:rsid w:val="000D7FEA"/>
    <w:rsid w:val="000E474A"/>
    <w:rsid w:val="000E61D8"/>
    <w:rsid w:val="000F433B"/>
    <w:rsid w:val="00101C25"/>
    <w:rsid w:val="0010316E"/>
    <w:rsid w:val="00111ED0"/>
    <w:rsid w:val="0012094C"/>
    <w:rsid w:val="00152B89"/>
    <w:rsid w:val="0017662F"/>
    <w:rsid w:val="001B10B9"/>
    <w:rsid w:val="001B372C"/>
    <w:rsid w:val="001D2F62"/>
    <w:rsid w:val="001D408E"/>
    <w:rsid w:val="001D44D4"/>
    <w:rsid w:val="001F408D"/>
    <w:rsid w:val="0020496D"/>
    <w:rsid w:val="002228E7"/>
    <w:rsid w:val="002310BF"/>
    <w:rsid w:val="002363BA"/>
    <w:rsid w:val="00274707"/>
    <w:rsid w:val="002A750B"/>
    <w:rsid w:val="002B1583"/>
    <w:rsid w:val="002D1E95"/>
    <w:rsid w:val="002D70CA"/>
    <w:rsid w:val="002E5EFE"/>
    <w:rsid w:val="002F026B"/>
    <w:rsid w:val="002F76A6"/>
    <w:rsid w:val="003003C9"/>
    <w:rsid w:val="00310068"/>
    <w:rsid w:val="00320099"/>
    <w:rsid w:val="00321442"/>
    <w:rsid w:val="00334E99"/>
    <w:rsid w:val="00370676"/>
    <w:rsid w:val="00375A84"/>
    <w:rsid w:val="003B7E83"/>
    <w:rsid w:val="003E519D"/>
    <w:rsid w:val="003F0B98"/>
    <w:rsid w:val="00415799"/>
    <w:rsid w:val="00436FEB"/>
    <w:rsid w:val="00437DB8"/>
    <w:rsid w:val="004547CA"/>
    <w:rsid w:val="00463400"/>
    <w:rsid w:val="0046421B"/>
    <w:rsid w:val="00464F40"/>
    <w:rsid w:val="004720F3"/>
    <w:rsid w:val="004A6360"/>
    <w:rsid w:val="004B150D"/>
    <w:rsid w:val="004B3683"/>
    <w:rsid w:val="004C643E"/>
    <w:rsid w:val="004F1117"/>
    <w:rsid w:val="004F120A"/>
    <w:rsid w:val="00501AE4"/>
    <w:rsid w:val="0051572F"/>
    <w:rsid w:val="0052112E"/>
    <w:rsid w:val="00527819"/>
    <w:rsid w:val="00540EE0"/>
    <w:rsid w:val="00544F7F"/>
    <w:rsid w:val="00572E65"/>
    <w:rsid w:val="005A66A4"/>
    <w:rsid w:val="005C054D"/>
    <w:rsid w:val="005C1C24"/>
    <w:rsid w:val="005C6D24"/>
    <w:rsid w:val="005D76A3"/>
    <w:rsid w:val="005E44BC"/>
    <w:rsid w:val="005E57A4"/>
    <w:rsid w:val="005F2EE5"/>
    <w:rsid w:val="0061083B"/>
    <w:rsid w:val="00624015"/>
    <w:rsid w:val="00636A30"/>
    <w:rsid w:val="00640602"/>
    <w:rsid w:val="00672236"/>
    <w:rsid w:val="006754F4"/>
    <w:rsid w:val="00691EB7"/>
    <w:rsid w:val="006E1BA0"/>
    <w:rsid w:val="006E2171"/>
    <w:rsid w:val="006E27A7"/>
    <w:rsid w:val="006E50D7"/>
    <w:rsid w:val="007161C1"/>
    <w:rsid w:val="00716661"/>
    <w:rsid w:val="00717CD7"/>
    <w:rsid w:val="00731D22"/>
    <w:rsid w:val="007371A6"/>
    <w:rsid w:val="00764C11"/>
    <w:rsid w:val="0079673A"/>
    <w:rsid w:val="007B6586"/>
    <w:rsid w:val="007D0159"/>
    <w:rsid w:val="007D47A0"/>
    <w:rsid w:val="007E042C"/>
    <w:rsid w:val="00824AD8"/>
    <w:rsid w:val="0083431E"/>
    <w:rsid w:val="00840192"/>
    <w:rsid w:val="00866F72"/>
    <w:rsid w:val="00877F80"/>
    <w:rsid w:val="008923DE"/>
    <w:rsid w:val="008B0CEC"/>
    <w:rsid w:val="008C49D1"/>
    <w:rsid w:val="008C657C"/>
    <w:rsid w:val="008D10D3"/>
    <w:rsid w:val="008D2CBC"/>
    <w:rsid w:val="008D4327"/>
    <w:rsid w:val="008E4AAB"/>
    <w:rsid w:val="009037BC"/>
    <w:rsid w:val="00904643"/>
    <w:rsid w:val="00911462"/>
    <w:rsid w:val="00916AA5"/>
    <w:rsid w:val="00950E5C"/>
    <w:rsid w:val="00972183"/>
    <w:rsid w:val="00980610"/>
    <w:rsid w:val="00982A82"/>
    <w:rsid w:val="00997C23"/>
    <w:rsid w:val="009A5DC9"/>
    <w:rsid w:val="009D5A54"/>
    <w:rsid w:val="009F4553"/>
    <w:rsid w:val="00A03298"/>
    <w:rsid w:val="00A105BB"/>
    <w:rsid w:val="00A172F3"/>
    <w:rsid w:val="00A249FC"/>
    <w:rsid w:val="00A34F39"/>
    <w:rsid w:val="00A43573"/>
    <w:rsid w:val="00A55799"/>
    <w:rsid w:val="00A613B4"/>
    <w:rsid w:val="00A73A15"/>
    <w:rsid w:val="00A85CA6"/>
    <w:rsid w:val="00A87C87"/>
    <w:rsid w:val="00A90370"/>
    <w:rsid w:val="00A90674"/>
    <w:rsid w:val="00AA307C"/>
    <w:rsid w:val="00AC1B0B"/>
    <w:rsid w:val="00AC3E4A"/>
    <w:rsid w:val="00AC43DE"/>
    <w:rsid w:val="00AC6BBE"/>
    <w:rsid w:val="00AE5803"/>
    <w:rsid w:val="00B0081D"/>
    <w:rsid w:val="00B22768"/>
    <w:rsid w:val="00B42A0D"/>
    <w:rsid w:val="00B44792"/>
    <w:rsid w:val="00B83734"/>
    <w:rsid w:val="00B90B44"/>
    <w:rsid w:val="00B91012"/>
    <w:rsid w:val="00B957B7"/>
    <w:rsid w:val="00BA2A00"/>
    <w:rsid w:val="00BA5EF8"/>
    <w:rsid w:val="00BB2F55"/>
    <w:rsid w:val="00BC748D"/>
    <w:rsid w:val="00BD007B"/>
    <w:rsid w:val="00BD71E1"/>
    <w:rsid w:val="00C062E8"/>
    <w:rsid w:val="00C24FD8"/>
    <w:rsid w:val="00C51F26"/>
    <w:rsid w:val="00C57DD6"/>
    <w:rsid w:val="00C87E53"/>
    <w:rsid w:val="00CA2E27"/>
    <w:rsid w:val="00CA3A8A"/>
    <w:rsid w:val="00CB34BE"/>
    <w:rsid w:val="00CB7072"/>
    <w:rsid w:val="00CF1D79"/>
    <w:rsid w:val="00D276AC"/>
    <w:rsid w:val="00D320F5"/>
    <w:rsid w:val="00D4217F"/>
    <w:rsid w:val="00D51801"/>
    <w:rsid w:val="00D55232"/>
    <w:rsid w:val="00D709C1"/>
    <w:rsid w:val="00D76BF5"/>
    <w:rsid w:val="00D81298"/>
    <w:rsid w:val="00D9226D"/>
    <w:rsid w:val="00DA3EA9"/>
    <w:rsid w:val="00DD02A3"/>
    <w:rsid w:val="00DD62DF"/>
    <w:rsid w:val="00DF1097"/>
    <w:rsid w:val="00DF6630"/>
    <w:rsid w:val="00E0736C"/>
    <w:rsid w:val="00E124AD"/>
    <w:rsid w:val="00E43277"/>
    <w:rsid w:val="00EB4935"/>
    <w:rsid w:val="00EB6750"/>
    <w:rsid w:val="00EC2A6E"/>
    <w:rsid w:val="00EC5ECA"/>
    <w:rsid w:val="00ED3D31"/>
    <w:rsid w:val="00ED7F05"/>
    <w:rsid w:val="00EE1634"/>
    <w:rsid w:val="00F313B6"/>
    <w:rsid w:val="00F35402"/>
    <w:rsid w:val="00F410E1"/>
    <w:rsid w:val="00F5655F"/>
    <w:rsid w:val="00F6017E"/>
    <w:rsid w:val="00F77846"/>
    <w:rsid w:val="00F8218C"/>
    <w:rsid w:val="00F97794"/>
    <w:rsid w:val="00FB5D8C"/>
    <w:rsid w:val="00FD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50A48796-90B2-4679-9475-F15530D5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6E"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qFormat/>
    <w:rsid w:val="007371A6"/>
    <w:pPr>
      <w:keepNext/>
      <w:outlineLvl w:val="0"/>
    </w:pPr>
    <w:rPr>
      <w:b/>
      <w:bCs/>
      <w:i/>
      <w:iCs/>
      <w:sz w:val="22"/>
      <w:szCs w:val="22"/>
    </w:rPr>
  </w:style>
  <w:style w:type="paragraph" w:styleId="Ttulo2">
    <w:name w:val="heading 2"/>
    <w:basedOn w:val="Normal"/>
    <w:next w:val="Normal"/>
    <w:qFormat/>
    <w:rsid w:val="007371A6"/>
    <w:pPr>
      <w:keepNext/>
      <w:jc w:val="both"/>
      <w:outlineLvl w:val="1"/>
    </w:pPr>
    <w:rPr>
      <w:rFonts w:ascii="Arial" w:hAnsi="Arial" w:cs="Arial"/>
      <w:b/>
      <w:bCs/>
      <w:i/>
      <w:iCs/>
      <w:sz w:val="22"/>
      <w:szCs w:val="22"/>
      <w:u w:val="thick"/>
    </w:rPr>
  </w:style>
  <w:style w:type="paragraph" w:styleId="Ttulo3">
    <w:name w:val="heading 3"/>
    <w:basedOn w:val="Normal"/>
    <w:next w:val="Normal"/>
    <w:qFormat/>
    <w:rsid w:val="007371A6"/>
    <w:pPr>
      <w:keepNext/>
      <w:shd w:val="pct20" w:color="auto" w:fill="auto"/>
      <w:ind w:right="-285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7371A6"/>
    <w:pPr>
      <w:keepNext/>
      <w:ind w:right="-1"/>
      <w:jc w:val="right"/>
      <w:outlineLvl w:val="3"/>
    </w:pPr>
    <w:rPr>
      <w:rFonts w:ascii="Arial" w:hAnsi="Arial" w:cs="Arial"/>
    </w:rPr>
  </w:style>
  <w:style w:type="paragraph" w:styleId="Ttulo6">
    <w:name w:val="heading 6"/>
    <w:basedOn w:val="Normal"/>
    <w:next w:val="Normal"/>
    <w:qFormat/>
    <w:rsid w:val="007371A6"/>
    <w:pPr>
      <w:keepNext/>
      <w:spacing w:line="360" w:lineRule="auto"/>
      <w:jc w:val="center"/>
      <w:outlineLvl w:val="5"/>
    </w:pPr>
    <w:rPr>
      <w:rFonts w:ascii="Arial" w:hAnsi="Arial" w:cs="Arial"/>
    </w:rPr>
  </w:style>
  <w:style w:type="paragraph" w:styleId="Ttulo7">
    <w:name w:val="heading 7"/>
    <w:basedOn w:val="Normal"/>
    <w:next w:val="Normal"/>
    <w:qFormat/>
    <w:rsid w:val="007371A6"/>
    <w:pPr>
      <w:keepNext/>
      <w:ind w:right="-427"/>
      <w:jc w:val="center"/>
      <w:outlineLvl w:val="6"/>
    </w:pPr>
    <w:rPr>
      <w:rFonts w:ascii="Arial" w:hAnsi="Arial" w:cs="Arial"/>
    </w:rPr>
  </w:style>
  <w:style w:type="paragraph" w:styleId="Ttulo8">
    <w:name w:val="heading 8"/>
    <w:basedOn w:val="Normal"/>
    <w:next w:val="Normal"/>
    <w:qFormat/>
    <w:rsid w:val="007371A6"/>
    <w:pPr>
      <w:keepNext/>
      <w:ind w:right="-427"/>
      <w:outlineLvl w:val="7"/>
    </w:pPr>
    <w:rPr>
      <w:rFonts w:ascii="Arial" w:hAnsi="Arial" w:cs="Arial"/>
    </w:rPr>
  </w:style>
  <w:style w:type="paragraph" w:styleId="Ttulo9">
    <w:name w:val="heading 9"/>
    <w:basedOn w:val="Normal"/>
    <w:next w:val="Normal"/>
    <w:qFormat/>
    <w:rsid w:val="007371A6"/>
    <w:pPr>
      <w:keepNext/>
      <w:ind w:right="-427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7371A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71A6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371A6"/>
    <w:pPr>
      <w:spacing w:line="360" w:lineRule="auto"/>
      <w:jc w:val="both"/>
    </w:pPr>
    <w:rPr>
      <w:rFonts w:ascii="Arial" w:hAnsi="Arial" w:cs="Arial"/>
      <w:b/>
      <w:bCs/>
      <w:sz w:val="24"/>
      <w:szCs w:val="24"/>
    </w:rPr>
  </w:style>
  <w:style w:type="paragraph" w:styleId="Textoindependiente">
    <w:name w:val="Body Text"/>
    <w:basedOn w:val="Normal"/>
    <w:rsid w:val="007371A6"/>
    <w:pPr>
      <w:ind w:right="-1"/>
    </w:pPr>
    <w:rPr>
      <w:rFonts w:ascii="Arial" w:hAnsi="Arial" w:cs="Arial"/>
    </w:rPr>
  </w:style>
  <w:style w:type="paragraph" w:styleId="Textodeglobo">
    <w:name w:val="Balloon Text"/>
    <w:basedOn w:val="Normal"/>
    <w:link w:val="TextodegloboCar"/>
    <w:rsid w:val="002D70C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2D70CA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824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D2F6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D71E1"/>
    <w:pPr>
      <w:autoSpaceDE/>
      <w:autoSpaceDN/>
      <w:spacing w:line="360" w:lineRule="auto"/>
      <w:ind w:left="720"/>
      <w:contextualSpacing/>
      <w:jc w:val="both"/>
    </w:pPr>
    <w:rPr>
      <w:rFonts w:ascii="Cambria" w:eastAsia="Calibri" w:hAnsi="Cambria"/>
      <w:color w:val="595959"/>
      <w:sz w:val="24"/>
      <w:szCs w:val="22"/>
      <w:lang w:val="es-UY" w:eastAsia="en-US"/>
    </w:rPr>
  </w:style>
  <w:style w:type="paragraph" w:customStyle="1" w:styleId="Ppg">
    <w:name w:val="P. pág."/>
    <w:basedOn w:val="Normal"/>
    <w:qFormat/>
    <w:rsid w:val="009A5DC9"/>
    <w:pPr>
      <w:suppressAutoHyphens/>
      <w:autoSpaceDE/>
      <w:autoSpaceDN/>
      <w:jc w:val="both"/>
    </w:pPr>
    <w:rPr>
      <w:rFonts w:ascii="Open Sans" w:hAnsi="Open Sans" w:cs="Open Sans"/>
      <w:bCs/>
      <w:sz w:val="16"/>
      <w:lang w:val="es-MX" w:eastAsia="ar-SA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A5DC9"/>
    <w:rPr>
      <w:rFonts w:ascii="Calibri" w:eastAsia="Calibri" w:hAnsi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rmacovigilancia@msp.gub.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Número</vt:lpstr>
    </vt:vector>
  </TitlesOfParts>
  <Company/>
  <LinksUpToDate>false</LinksUpToDate>
  <CharactersWithSpaces>5604</CharactersWithSpaces>
  <SharedDoc>false</SharedDoc>
  <HLinks>
    <vt:vector size="6" baseType="variant">
      <vt:variant>
        <vt:i4>7733273</vt:i4>
      </vt:variant>
      <vt:variant>
        <vt:i4>0</vt:i4>
      </vt:variant>
      <vt:variant>
        <vt:i4>0</vt:i4>
      </vt:variant>
      <vt:variant>
        <vt:i4>5</vt:i4>
      </vt:variant>
      <vt:variant>
        <vt:lpwstr>mailto:farmacovigilancia@msp.gub.uy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Número</dc:title>
  <dc:subject/>
  <dc:creator>nvillalba</dc:creator>
  <cp:keywords/>
  <cp:lastModifiedBy>Carolina Ramilo</cp:lastModifiedBy>
  <cp:revision>2</cp:revision>
  <cp:lastPrinted>2016-11-23T20:22:00Z</cp:lastPrinted>
  <dcterms:created xsi:type="dcterms:W3CDTF">2021-12-02T13:50:00Z</dcterms:created>
  <dcterms:modified xsi:type="dcterms:W3CDTF">2021-12-02T13:50:00Z</dcterms:modified>
</cp:coreProperties>
</file>