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FAF" w:rsidRPr="006C62E5" w:rsidRDefault="00BA1FAF" w:rsidP="00BA1FAF">
      <w:pPr>
        <w:tabs>
          <w:tab w:val="left" w:pos="1495"/>
        </w:tabs>
        <w:rPr>
          <w:lang w:val="es-UY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49"/>
        <w:gridCol w:w="4432"/>
      </w:tblGrid>
      <w:tr w:rsidR="00BA1FAF" w:rsidRPr="006C62E5" w:rsidTr="00BA1FAF">
        <w:trPr>
          <w:trHeight w:hRule="exact" w:val="56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rPr>
                <w:lang w:val="es-UY"/>
              </w:rPr>
            </w:pPr>
            <w:r w:rsidRPr="006C62E5">
              <w:rPr>
                <w:b/>
                <w:lang w:val="es-UY"/>
              </w:rPr>
              <w:t>NOMBRE ESPECIALIDAD:</w:t>
            </w:r>
          </w:p>
        </w:tc>
      </w:tr>
      <w:tr w:rsidR="00BA1FAF" w:rsidRPr="006C62E5" w:rsidTr="00BA1FAF">
        <w:trPr>
          <w:trHeight w:hRule="exact" w:val="56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rPr>
                <w:lang w:val="es-UY"/>
              </w:rPr>
            </w:pPr>
            <w:r w:rsidRPr="006C62E5">
              <w:rPr>
                <w:lang w:val="es-UY"/>
              </w:rPr>
              <w:t>Laboratorio: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rPr>
                <w:lang w:val="es-UY"/>
              </w:rPr>
            </w:pPr>
          </w:p>
        </w:tc>
      </w:tr>
    </w:tbl>
    <w:p w:rsidR="00BA1FAF" w:rsidRPr="006C62E5" w:rsidRDefault="00BA1FAF" w:rsidP="00BA1FAF">
      <w:pPr>
        <w:tabs>
          <w:tab w:val="left" w:pos="1495"/>
        </w:tabs>
        <w:rPr>
          <w:lang w:val="es-UY"/>
        </w:rPr>
      </w:pPr>
    </w:p>
    <w:p w:rsidR="00BA1FAF" w:rsidRPr="006C62E5" w:rsidRDefault="00BA1FAF" w:rsidP="00BA1FAF">
      <w:pPr>
        <w:tabs>
          <w:tab w:val="left" w:pos="1495"/>
        </w:tabs>
        <w:rPr>
          <w:lang w:val="es-UY"/>
        </w:rPr>
      </w:pPr>
    </w:p>
    <w:tbl>
      <w:tblPr>
        <w:tblW w:w="9923" w:type="dxa"/>
        <w:tblInd w:w="-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601"/>
        <w:gridCol w:w="601"/>
        <w:gridCol w:w="601"/>
        <w:gridCol w:w="601"/>
      </w:tblGrid>
      <w:tr w:rsidR="00BA1FAF" w:rsidRPr="006C62E5" w:rsidTr="006C62E5">
        <w:trPr>
          <w:trHeight w:hRule="exact" w:val="757"/>
          <w:tblHeader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ITEM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SI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NO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N/C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FOJA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Nº</w:t>
            </w:r>
          </w:p>
        </w:tc>
      </w:tr>
      <w:tr w:rsidR="00BA1FAF" w:rsidRPr="006C62E5" w:rsidTr="003717AA">
        <w:trPr>
          <w:trHeight w:hRule="exact" w:val="56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717350" w:rsidP="0071735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 xml:space="preserve">1. Formulario de solicitud de registro </w:t>
            </w:r>
            <w:r w:rsidR="00BA1FAF" w:rsidRPr="006C62E5">
              <w:rPr>
                <w:b/>
                <w:lang w:val="es-UY"/>
              </w:rPr>
              <w:t>de especialidades farmacéuticas.</w:t>
            </w:r>
            <w:r w:rsidR="005B3D75" w:rsidRPr="006C62E5">
              <w:rPr>
                <w:b/>
                <w:lang w:val="es-UY"/>
              </w:rPr>
              <w:t xml:space="preserve"> (FO-13221-002)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4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2. Certificado de Producto Farmacéutico en país de origen.</w:t>
            </w:r>
            <w:r w:rsidR="005B3D75" w:rsidRPr="006C62E5">
              <w:rPr>
                <w:b/>
                <w:lang w:val="es-UY"/>
              </w:rPr>
              <w:t>(Según Decreto 018/020, Art. 4)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29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E54B42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2.</w:t>
            </w:r>
            <w:r w:rsidR="00E54B42" w:rsidRPr="006C62E5">
              <w:rPr>
                <w:b/>
                <w:lang w:val="es-UY"/>
              </w:rPr>
              <w:t>1</w:t>
            </w:r>
            <w:r w:rsidR="005B3D75" w:rsidRPr="006C62E5">
              <w:rPr>
                <w:b/>
                <w:lang w:val="es-UY"/>
              </w:rPr>
              <w:t xml:space="preserve"> Evidencia de comercialización para productos importados.</w:t>
            </w:r>
            <w:r w:rsidRPr="006C62E5">
              <w:rPr>
                <w:b/>
                <w:lang w:val="es-UY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68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3. Certificado de cumplimiento de GMP de la planta elab</w:t>
            </w:r>
            <w:r w:rsidR="005B3D75" w:rsidRPr="006C62E5">
              <w:rPr>
                <w:b/>
                <w:lang w:val="es-UY"/>
              </w:rPr>
              <w:t>oradora del producto terminado. (Según Decreto 018/020, Art. 4)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 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terminado </w:t>
            </w:r>
            <w:proofErr w:type="spellStart"/>
            <w:r w:rsidRPr="006C62E5">
              <w:rPr>
                <w:lang w:val="es-UY"/>
              </w:rPr>
              <w:t>terminado</w:t>
            </w:r>
            <w:proofErr w:type="spellEnd"/>
            <w:r w:rsidRPr="006C62E5">
              <w:rPr>
                <w:lang w:val="es-UY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6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E54B42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3.1 Certificado de</w:t>
            </w:r>
            <w:r w:rsidR="00CE6FA9" w:rsidRPr="006C62E5">
              <w:rPr>
                <w:b/>
                <w:lang w:val="es-UY"/>
              </w:rPr>
              <w:t xml:space="preserve"> </w:t>
            </w:r>
            <w:r w:rsidR="005B3D75" w:rsidRPr="006C62E5">
              <w:rPr>
                <w:b/>
                <w:lang w:val="es-UY"/>
              </w:rPr>
              <w:t>cumplimiento de GMP</w:t>
            </w:r>
            <w:r w:rsidRPr="006C62E5">
              <w:rPr>
                <w:b/>
                <w:lang w:val="es-UY"/>
              </w:rPr>
              <w:t xml:space="preserve"> de la (s) empresa (s) elaboradora del principio activo.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71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 xml:space="preserve">4. Resolución del MSP </w:t>
            </w:r>
            <w:r w:rsidRPr="006C62E5">
              <w:rPr>
                <w:lang w:val="es-UY"/>
              </w:rPr>
              <w:t>aprobando representación, distribución, tercerización, acondicionamiento, habilitación, etc.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9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5. Recibo de pago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7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E54B42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>6. PROTOCOLO</w:t>
            </w:r>
            <w:r w:rsidR="00CE6FA9" w:rsidRPr="006C62E5">
              <w:rPr>
                <w:b/>
                <w:lang w:val="es-UY"/>
              </w:rPr>
              <w:t xml:space="preserve"> (Según Decreto 018/020, Art. 6)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7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6.1 PRINCIPIO (S) ACTIVO (S)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68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6.1.1 Monografía del principio activo, caracterización completa.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717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5B3D75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6.1.2 Descripción del desarrollo</w:t>
            </w:r>
            <w:r w:rsidR="00BA1FAF" w:rsidRPr="006C62E5">
              <w:rPr>
                <w:lang w:val="es-UY"/>
              </w:rPr>
              <w:t xml:space="preserve"> de los vectores de expresión, bancos celulares, medios de cultivo. 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699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6.1.3 </w:t>
            </w:r>
            <w:r w:rsidR="005B3D75" w:rsidRPr="006C62E5">
              <w:rPr>
                <w:lang w:val="es-UY"/>
              </w:rPr>
              <w:t>Descripción detallada del proceso</w:t>
            </w:r>
            <w:r w:rsidRPr="006C62E5">
              <w:rPr>
                <w:lang w:val="es-UY"/>
              </w:rPr>
              <w:t xml:space="preserve"> de elaboración del principio activo</w:t>
            </w:r>
            <w:r w:rsidR="005B3D75" w:rsidRPr="006C62E5">
              <w:rPr>
                <w:lang w:val="es-UY"/>
              </w:rPr>
              <w:t xml:space="preserve">, controles </w:t>
            </w:r>
            <w:r w:rsidRPr="006C62E5">
              <w:rPr>
                <w:lang w:val="es-UY"/>
              </w:rPr>
              <w:t xml:space="preserve"> y validación del mismo.</w:t>
            </w:r>
            <w:r w:rsidR="003717AA" w:rsidRPr="006C62E5">
              <w:rPr>
                <w:lang w:val="es-UY"/>
              </w:rPr>
              <w:t xml:space="preserve"> Estudio de validación de seguridad viral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16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5B3D75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6.1.4 Definición de </w:t>
            </w:r>
            <w:r w:rsidR="005B3D75" w:rsidRPr="006C62E5">
              <w:rPr>
                <w:lang w:val="es-UY"/>
              </w:rPr>
              <w:t xml:space="preserve">tamaño de lote y fórmula </w:t>
            </w:r>
            <w:proofErr w:type="spellStart"/>
            <w:r w:rsidR="005B3D75" w:rsidRPr="006C62E5">
              <w:rPr>
                <w:lang w:val="es-UY"/>
              </w:rPr>
              <w:t>cuali</w:t>
            </w:r>
            <w:proofErr w:type="spellEnd"/>
            <w:r w:rsidR="005B3D75" w:rsidRPr="006C62E5">
              <w:rPr>
                <w:lang w:val="es-UY"/>
              </w:rPr>
              <w:t>-</w:t>
            </w:r>
            <w:r w:rsidRPr="006C62E5">
              <w:rPr>
                <w:lang w:val="es-UY"/>
              </w:rPr>
              <w:t>c</w:t>
            </w:r>
            <w:r w:rsidR="005B3D75" w:rsidRPr="006C62E5">
              <w:rPr>
                <w:lang w:val="es-UY"/>
              </w:rPr>
              <w:t>uantitativa</w:t>
            </w:r>
            <w:r w:rsidR="001A2D70" w:rsidRPr="006C62E5">
              <w:rPr>
                <w:lang w:val="es-UY"/>
              </w:rPr>
              <w:t>, excipientes.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71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2907D2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6.1.5 Metodología analítica completa del principio activo</w:t>
            </w:r>
            <w:r w:rsidR="002907D2" w:rsidRPr="006C62E5">
              <w:rPr>
                <w:lang w:val="es-UY"/>
              </w:rPr>
              <w:t xml:space="preserve"> y validación. E</w:t>
            </w:r>
            <w:r w:rsidR="00765176" w:rsidRPr="006C62E5">
              <w:rPr>
                <w:lang w:val="es-UY"/>
              </w:rPr>
              <w:t xml:space="preserve">stándares usados y la </w:t>
            </w:r>
            <w:r w:rsidR="002907D2" w:rsidRPr="006C62E5">
              <w:rPr>
                <w:lang w:val="es-UY"/>
              </w:rPr>
              <w:t>caracterización de los mismos.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60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6.1.6 Especificaciones del prin</w:t>
            </w:r>
            <w:r w:rsidR="00765176" w:rsidRPr="006C62E5">
              <w:rPr>
                <w:lang w:val="es-UY"/>
              </w:rPr>
              <w:t>cipio activo para su liberación</w:t>
            </w:r>
            <w:r w:rsidR="0008316F" w:rsidRPr="006C62E5">
              <w:rPr>
                <w:lang w:val="es-UY"/>
              </w:rPr>
              <w:t>,</w:t>
            </w:r>
            <w:r w:rsidR="0008316F" w:rsidRPr="006C62E5">
              <w:rPr>
                <w:color w:val="FF0000"/>
                <w:lang w:val="es-UY"/>
              </w:rPr>
              <w:t xml:space="preserve"> </w:t>
            </w:r>
            <w:r w:rsidR="0008316F" w:rsidRPr="006C62E5">
              <w:rPr>
                <w:lang w:val="es-UY"/>
              </w:rPr>
              <w:t xml:space="preserve">incluyendo </w:t>
            </w:r>
            <w:r w:rsidR="00765176" w:rsidRPr="006C62E5">
              <w:rPr>
                <w:lang w:val="es-UY"/>
              </w:rPr>
              <w:t xml:space="preserve"> jus</w:t>
            </w:r>
            <w:r w:rsidR="0008316F" w:rsidRPr="006C62E5">
              <w:rPr>
                <w:lang w:val="es-UY"/>
              </w:rPr>
              <w:t>tificación de las mismas.</w:t>
            </w:r>
          </w:p>
          <w:p w:rsidR="00765176" w:rsidRPr="006C62E5" w:rsidRDefault="00765176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7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6.1.7 Certificado de análisis de 3 lotes consecutivos.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1A2D70" w:rsidRPr="006C62E5" w:rsidTr="003717AA">
        <w:trPr>
          <w:trHeight w:hRule="exact" w:val="43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D70" w:rsidRPr="006C62E5" w:rsidRDefault="001A2D70" w:rsidP="003717AA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6.1.8 Condiciones de almacenamiento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D70" w:rsidRPr="006C62E5" w:rsidRDefault="001A2D70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D70" w:rsidRPr="006C62E5" w:rsidRDefault="001A2D70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D70" w:rsidRPr="006C62E5" w:rsidRDefault="001A2D70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D70" w:rsidRPr="006C62E5" w:rsidRDefault="001A2D70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93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D70" w:rsidRPr="006C62E5" w:rsidRDefault="001A2D70" w:rsidP="001A2D7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6.1.9</w:t>
            </w:r>
            <w:r w:rsidR="00BA1FAF" w:rsidRPr="006C62E5">
              <w:rPr>
                <w:lang w:val="es-UY"/>
              </w:rPr>
              <w:t xml:space="preserve"> Estudios de estabilidad del principio activo. </w:t>
            </w:r>
          </w:p>
          <w:p w:rsidR="001A2D70" w:rsidRPr="006C62E5" w:rsidRDefault="001A2D70" w:rsidP="001A2D7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1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lastRenderedPageBreak/>
              <w:t>6.2 PRODUCTO TERMINADO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7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 Nombre</w:t>
            </w:r>
            <w:r w:rsidR="00E54B42" w:rsidRPr="006C62E5">
              <w:rPr>
                <w:lang w:val="es-UY"/>
              </w:rPr>
              <w:t xml:space="preserve"> comercial</w:t>
            </w:r>
            <w:r w:rsidRPr="006C62E5">
              <w:rPr>
                <w:lang w:val="es-UY"/>
              </w:rPr>
              <w:t xml:space="preserve"> propuesto.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6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6.2.2 Características </w:t>
            </w:r>
            <w:proofErr w:type="spellStart"/>
            <w:r w:rsidRPr="006C62E5">
              <w:rPr>
                <w:lang w:val="es-UY"/>
              </w:rPr>
              <w:t>farmacotécnicas</w:t>
            </w:r>
            <w:proofErr w:type="spellEnd"/>
            <w:r w:rsidRPr="006C62E5">
              <w:rPr>
                <w:lang w:val="es-UY"/>
              </w:rPr>
              <w:t>.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9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6.2.3 Fórmula </w:t>
            </w:r>
            <w:proofErr w:type="spellStart"/>
            <w:r w:rsidRPr="006C62E5">
              <w:rPr>
                <w:lang w:val="es-UY"/>
              </w:rPr>
              <w:t>cuali</w:t>
            </w:r>
            <w:proofErr w:type="spellEnd"/>
            <w:r w:rsidRPr="006C62E5">
              <w:rPr>
                <w:lang w:val="es-UY"/>
              </w:rPr>
              <w:t xml:space="preserve">-cuantitativa.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7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6.2.4 Especificaciones de los excipientes.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2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6.2.5 Descripción del envase, especificaciones del mismo. 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68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6.2.6 D</w:t>
            </w:r>
            <w:r w:rsidR="001A2D70" w:rsidRPr="006C62E5">
              <w:rPr>
                <w:lang w:val="es-UY"/>
              </w:rPr>
              <w:t xml:space="preserve">escripción detallada del proceso </w:t>
            </w:r>
            <w:r w:rsidRPr="006C62E5">
              <w:rPr>
                <w:lang w:val="es-UY"/>
              </w:rPr>
              <w:t>de elaboración y validación del mismo.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9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6.2.7 Definición de lote, tamaño de lote y máster fórmula.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61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6.2.8 Metodología analítica completa incluyendo su validación.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7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6.2.9 Especificaciones del producto terminado para su liberación y para su vida útil.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76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5238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6.2.10 Certificado de análisis de 3 lotes de producción elaborados con distintos lotes de principio activo.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56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1A2D7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6.2.11 Declaración del lugar donde se realizarán los análisis del producto terminado </w:t>
            </w:r>
            <w:r w:rsidR="001A2D70" w:rsidRPr="006C62E5">
              <w:rPr>
                <w:lang w:val="es-UY"/>
              </w:rPr>
              <w:t>localmente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428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6.2.12 Modelo de análisis de liberación local firmado por el DT.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0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b/>
                <w:lang w:val="es-UY"/>
              </w:rPr>
              <w:t xml:space="preserve"> 6.2.13 Estudio de estabilidad del Producto Terminado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83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6.2.13.1 Condiciones naturales.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0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6.2.13.2 Condiciones aceleradas que correspondan.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1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6.2.13.3 Tiempo de duración e intervalos de tiempo.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61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 xml:space="preserve">6.2.13.4 Tamaño y número de lotes, vencimiento de la materia prima empleada en su elaboración.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4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6.2.13.5 Lugar y fecha de elaboración de los lotes.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2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08316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bookmarkStart w:id="0" w:name="_Hlk9441037"/>
            <w:r w:rsidRPr="006C62E5">
              <w:rPr>
                <w:lang w:val="es-UY"/>
              </w:rPr>
              <w:t>6.2.13.6 Descripción de envase.</w:t>
            </w:r>
            <w:r w:rsidR="00FC7FCD" w:rsidRPr="006C62E5">
              <w:rPr>
                <w:lang w:val="es-UY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3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6.2.13.7 Período de vida útil propuesto.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bookmarkEnd w:id="0"/>
      <w:tr w:rsidR="00BA1FAF" w:rsidRPr="006C62E5" w:rsidTr="00B52380">
        <w:trPr>
          <w:trHeight w:hRule="exact" w:val="53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6.2.13.8 Medicamentos extemporáneos (estudio solución reconstituida y diluida).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1009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2380" w:rsidRPr="006C62E5" w:rsidRDefault="00BA1FAF" w:rsidP="00B5238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6.2.13.9 Condiciones de conservación y validación de la cadena de transporte.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630"/>
        </w:trPr>
        <w:tc>
          <w:tcPr>
            <w:tcW w:w="7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6.3 PRODUCTOS A REGISTRAR POR PROTOCOLO COMPLETO</w:t>
            </w:r>
            <w:r w:rsidR="001A2D70" w:rsidRPr="006C62E5">
              <w:rPr>
                <w:b/>
                <w:lang w:val="es-UY"/>
              </w:rPr>
              <w:t xml:space="preserve"> (Según </w:t>
            </w:r>
            <w:r w:rsidR="00122FC1" w:rsidRPr="006C62E5">
              <w:rPr>
                <w:b/>
                <w:lang w:val="es-UY"/>
              </w:rPr>
              <w:t>decreto 0</w:t>
            </w:r>
            <w:r w:rsidR="001A2D70" w:rsidRPr="006C62E5">
              <w:rPr>
                <w:b/>
                <w:lang w:val="es-UY"/>
              </w:rPr>
              <w:t>38/015</w:t>
            </w:r>
            <w:r w:rsidR="00122FC1" w:rsidRPr="006C62E5">
              <w:rPr>
                <w:b/>
                <w:lang w:val="es-UY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735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lastRenderedPageBreak/>
              <w:t xml:space="preserve">6.3.1 Estudios preclínicos, estudios </w:t>
            </w:r>
            <w:proofErr w:type="spellStart"/>
            <w:r w:rsidRPr="006C62E5">
              <w:rPr>
                <w:lang w:val="es-UY"/>
              </w:rPr>
              <w:t>farmacodiná</w:t>
            </w:r>
            <w:bookmarkStart w:id="1" w:name="_GoBack"/>
            <w:bookmarkEnd w:id="1"/>
            <w:r w:rsidRPr="006C62E5">
              <w:rPr>
                <w:lang w:val="es-UY"/>
              </w:rPr>
              <w:t>micos</w:t>
            </w:r>
            <w:proofErr w:type="spellEnd"/>
            <w:r w:rsidRPr="006C62E5">
              <w:rPr>
                <w:lang w:val="es-UY"/>
              </w:rPr>
              <w:t xml:space="preserve">, </w:t>
            </w:r>
            <w:proofErr w:type="spellStart"/>
            <w:r w:rsidRPr="006C62E5">
              <w:rPr>
                <w:lang w:val="es-UY"/>
              </w:rPr>
              <w:t>farmacocinéticos</w:t>
            </w:r>
            <w:proofErr w:type="spellEnd"/>
            <w:r w:rsidRPr="006C62E5">
              <w:rPr>
                <w:lang w:val="es-UY"/>
              </w:rPr>
              <w:t>, estudios de toxicidad.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6C62E5">
        <w:trPr>
          <w:trHeight w:hRule="exact" w:val="66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6.3.2 Estudios clínicos,</w:t>
            </w:r>
            <w:r w:rsidRPr="006C62E5">
              <w:rPr>
                <w:b/>
                <w:lang w:val="es-UY"/>
              </w:rPr>
              <w:t xml:space="preserve"> </w:t>
            </w:r>
            <w:r w:rsidRPr="006C62E5">
              <w:rPr>
                <w:lang w:val="es-UY"/>
              </w:rPr>
              <w:t xml:space="preserve">Estudios Fase I, Estudios Fase II, Estudios Fase III, Estudios Fase IV, Estudios de </w:t>
            </w:r>
            <w:proofErr w:type="spellStart"/>
            <w:r w:rsidRPr="006C62E5">
              <w:rPr>
                <w:lang w:val="es-UY"/>
              </w:rPr>
              <w:t>inmunogenicidad</w:t>
            </w:r>
            <w:proofErr w:type="spellEnd"/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6C62E5">
        <w:trPr>
          <w:trHeight w:hRule="exact" w:val="572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6.4 PRODUCTOS A REGISTRAR POR COMPARABILIDAD</w:t>
            </w:r>
            <w:r w:rsidR="00122FC1" w:rsidRPr="006C62E5">
              <w:rPr>
                <w:b/>
                <w:lang w:val="es-UY"/>
              </w:rPr>
              <w:t xml:space="preserve"> (Según Decreto 038/015)</w:t>
            </w:r>
          </w:p>
          <w:p w:rsidR="006C62E5" w:rsidRPr="006C62E5" w:rsidRDefault="006C62E5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3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6.4.1 Protocolo de comparabilidad de calidad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3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6.4.</w:t>
            </w:r>
            <w:r w:rsidR="00717350" w:rsidRPr="006C62E5">
              <w:rPr>
                <w:lang w:val="es-UY"/>
              </w:rPr>
              <w:t xml:space="preserve">2 Protocolo de comparabilidad </w:t>
            </w:r>
            <w:r w:rsidRPr="006C62E5">
              <w:rPr>
                <w:lang w:val="es-UY"/>
              </w:rPr>
              <w:t xml:space="preserve"> preclínica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430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717350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6.4.3 Protoc</w:t>
            </w:r>
            <w:r w:rsidR="00B16B7E" w:rsidRPr="006C62E5">
              <w:rPr>
                <w:lang w:val="es-UY"/>
              </w:rPr>
              <w:t xml:space="preserve">olo de comparabilidad </w:t>
            </w:r>
            <w:r w:rsidRPr="006C62E5">
              <w:rPr>
                <w:lang w:val="es-UY"/>
              </w:rPr>
              <w:t>clínica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3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6.5 Diseño gráfico del rotulado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1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6.5.1 Envase primario.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74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6.5.2 Envase secundario.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3717AA">
        <w:trPr>
          <w:trHeight w:hRule="exact" w:val="346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3E5DCE" w:rsidP="00BA1FAF">
            <w:pPr>
              <w:tabs>
                <w:tab w:val="left" w:pos="1495"/>
              </w:tabs>
              <w:ind w:left="57" w:right="57"/>
              <w:rPr>
                <w:lang w:val="es-UY"/>
              </w:rPr>
            </w:pPr>
            <w:r w:rsidRPr="006C62E5">
              <w:rPr>
                <w:lang w:val="es-UY"/>
              </w:rPr>
              <w:t>6.5.3 Prospecto ajustado a referencia internacional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641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 xml:space="preserve">6.6 </w:t>
            </w:r>
            <w:proofErr w:type="spellStart"/>
            <w:r w:rsidRPr="006C62E5">
              <w:rPr>
                <w:b/>
                <w:lang w:val="es-UY"/>
              </w:rPr>
              <w:t>Farmacovigilancia</w:t>
            </w:r>
            <w:proofErr w:type="spellEnd"/>
            <w:r w:rsidRPr="006C62E5">
              <w:rPr>
                <w:b/>
                <w:lang w:val="es-UY"/>
              </w:rPr>
              <w:t xml:space="preserve"> y Plan de Gestión de Riesgo de apl</w:t>
            </w:r>
            <w:r w:rsidR="001D1DD9" w:rsidRPr="006C62E5">
              <w:rPr>
                <w:b/>
                <w:lang w:val="es-UY"/>
              </w:rPr>
              <w:t xml:space="preserve">icación local en idioma español (ajustarse a lista de verificación </w:t>
            </w:r>
            <w:r w:rsidR="002907D2" w:rsidRPr="006C62E5">
              <w:t>FO- 13221-022</w:t>
            </w:r>
            <w:r w:rsidR="001D1DD9" w:rsidRPr="006C62E5">
              <w:t>)</w:t>
            </w: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</w:p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  <w:tr w:rsidR="00BA1FAF" w:rsidRPr="006C62E5" w:rsidTr="00B52380">
        <w:trPr>
          <w:trHeight w:hRule="exact" w:val="426"/>
        </w:trPr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 w:right="57"/>
              <w:rPr>
                <w:b/>
                <w:lang w:val="es-UY"/>
              </w:rPr>
            </w:pPr>
            <w:r w:rsidRPr="006C62E5">
              <w:rPr>
                <w:b/>
                <w:lang w:val="es-UY"/>
              </w:rPr>
              <w:t>6.7 Información para el profesional médico.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ind w:left="57"/>
              <w:rPr>
                <w:lang w:val="es-UY"/>
              </w:rPr>
            </w:pPr>
          </w:p>
        </w:tc>
      </w:tr>
    </w:tbl>
    <w:p w:rsidR="00BA1FAF" w:rsidRPr="006C62E5" w:rsidRDefault="00BA1FAF" w:rsidP="00BA1FAF">
      <w:pPr>
        <w:tabs>
          <w:tab w:val="left" w:pos="1495"/>
        </w:tabs>
        <w:rPr>
          <w:lang w:val="es-UY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6114"/>
      </w:tblGrid>
      <w:tr w:rsidR="00717350" w:rsidRPr="006C62E5" w:rsidTr="002907D2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50" w:rsidRPr="006C62E5" w:rsidRDefault="00717350" w:rsidP="00BA1FAF">
            <w:pPr>
              <w:tabs>
                <w:tab w:val="left" w:pos="1495"/>
              </w:tabs>
              <w:rPr>
                <w:lang w:val="es-UY"/>
              </w:rPr>
            </w:pPr>
            <w:r w:rsidRPr="006C62E5">
              <w:rPr>
                <w:lang w:val="es-UY"/>
              </w:rPr>
              <w:t>Fecha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50" w:rsidRPr="006C62E5" w:rsidRDefault="00717350" w:rsidP="00BA1FAF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BA1FAF" w:rsidRPr="006C62E5" w:rsidTr="00B52380">
        <w:trPr>
          <w:trHeight w:val="589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rPr>
                <w:lang w:val="es-UY"/>
              </w:rPr>
            </w:pPr>
            <w:r w:rsidRPr="006C62E5">
              <w:rPr>
                <w:lang w:val="es-UY"/>
              </w:rPr>
              <w:t>Firma Director Técnico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AF" w:rsidRPr="006C62E5" w:rsidRDefault="00BA1FAF" w:rsidP="00BA1FAF">
            <w:pPr>
              <w:tabs>
                <w:tab w:val="left" w:pos="1495"/>
              </w:tabs>
              <w:rPr>
                <w:lang w:val="es-UY"/>
              </w:rPr>
            </w:pPr>
          </w:p>
        </w:tc>
      </w:tr>
    </w:tbl>
    <w:p w:rsidR="00B52380" w:rsidRDefault="00B52380" w:rsidP="0006693B">
      <w:pPr>
        <w:rPr>
          <w:b/>
        </w:rPr>
      </w:pPr>
    </w:p>
    <w:p w:rsidR="0006693B" w:rsidRPr="00BA1FAF" w:rsidRDefault="0006693B" w:rsidP="00B52380">
      <w:pPr>
        <w:tabs>
          <w:tab w:val="left" w:pos="1495"/>
        </w:tabs>
        <w:rPr>
          <w:lang w:val="es-ES"/>
        </w:rPr>
      </w:pPr>
    </w:p>
    <w:sectPr w:rsidR="0006693B" w:rsidRPr="00BA1FAF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63" w:rsidRDefault="00195163" w:rsidP="00A44C3B">
      <w:r>
        <w:separator/>
      </w:r>
    </w:p>
    <w:p w:rsidR="00195163" w:rsidRDefault="00195163" w:rsidP="00A44C3B"/>
    <w:p w:rsidR="00195163" w:rsidRDefault="00195163" w:rsidP="00A44C3B"/>
    <w:p w:rsidR="00195163" w:rsidRDefault="00195163" w:rsidP="00A44C3B"/>
  </w:endnote>
  <w:endnote w:type="continuationSeparator" w:id="0">
    <w:p w:rsidR="00195163" w:rsidRDefault="00195163" w:rsidP="00A44C3B">
      <w:r>
        <w:continuationSeparator/>
      </w:r>
    </w:p>
    <w:p w:rsidR="00195163" w:rsidRDefault="00195163" w:rsidP="00A44C3B"/>
    <w:p w:rsidR="00195163" w:rsidRDefault="00195163" w:rsidP="00A44C3B"/>
    <w:p w:rsidR="00195163" w:rsidRDefault="00195163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2A" w:rsidRPr="00862122" w:rsidRDefault="0024502A" w:rsidP="0024502A">
    <w:pPr>
      <w:tabs>
        <w:tab w:val="center" w:pos="4252"/>
        <w:tab w:val="right" w:pos="8504"/>
      </w:tabs>
      <w:jc w:val="center"/>
      <w:rPr>
        <w:lang w:val="es-UY"/>
      </w:rPr>
    </w:pPr>
    <w:r w:rsidRPr="00135CFB">
      <w:rPr>
        <w:lang w:val="es-UY"/>
      </w:rPr>
      <w:t xml:space="preserve">Av. 18 de </w:t>
    </w:r>
    <w:proofErr w:type="gramStart"/>
    <w:r w:rsidRPr="00135CFB">
      <w:rPr>
        <w:lang w:val="es-UY"/>
      </w:rPr>
      <w:t>Julio</w:t>
    </w:r>
    <w:proofErr w:type="gramEnd"/>
    <w:r w:rsidRPr="00135CFB">
      <w:rPr>
        <w:lang w:val="es-UY"/>
      </w:rPr>
      <w:t xml:space="preserve"> 1892. Planta Baja Oficina 06. </w:t>
    </w:r>
    <w:r w:rsidRPr="00862122">
      <w:rPr>
        <w:lang w:val="es-UY"/>
      </w:rPr>
      <w:t>Teléfono 1934 5053. Fax: 1934 5052</w:t>
    </w:r>
  </w:p>
  <w:p w:rsidR="0024502A" w:rsidRPr="00862122" w:rsidRDefault="0024502A" w:rsidP="0024502A">
    <w:pPr>
      <w:pStyle w:val="Piedepgina"/>
      <w:jc w:val="center"/>
      <w:rPr>
        <w:lang w:val="es-UY"/>
      </w:rPr>
    </w:pPr>
    <w:r w:rsidRPr="00862122">
      <w:rPr>
        <w:lang w:val="es-UY"/>
      </w:rPr>
      <w:t xml:space="preserve">Correo electrónico: </w:t>
    </w:r>
    <w:hyperlink r:id="rId1" w:history="1">
      <w:r w:rsidRPr="00862122">
        <w:rPr>
          <w:rStyle w:val="Hipervnculo"/>
          <w:lang w:val="es-UY"/>
        </w:rPr>
        <w:t>deptomedicamentos@msp.gub.uy</w:t>
      </w:r>
    </w:hyperlink>
  </w:p>
  <w:p w:rsidR="00D42D7B" w:rsidRPr="0024502A" w:rsidRDefault="00D42D7B" w:rsidP="00A44C3B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63" w:rsidRDefault="00195163" w:rsidP="00A44C3B">
      <w:r>
        <w:separator/>
      </w:r>
    </w:p>
    <w:p w:rsidR="00195163" w:rsidRDefault="00195163" w:rsidP="00A44C3B"/>
    <w:p w:rsidR="00195163" w:rsidRDefault="00195163" w:rsidP="00A44C3B"/>
    <w:p w:rsidR="00195163" w:rsidRDefault="00195163" w:rsidP="00A44C3B"/>
  </w:footnote>
  <w:footnote w:type="continuationSeparator" w:id="0">
    <w:p w:rsidR="00195163" w:rsidRDefault="00195163" w:rsidP="00A44C3B">
      <w:r>
        <w:continuationSeparator/>
      </w:r>
    </w:p>
    <w:p w:rsidR="00195163" w:rsidRDefault="00195163" w:rsidP="00A44C3B"/>
    <w:p w:rsidR="00195163" w:rsidRDefault="00195163" w:rsidP="00A44C3B"/>
    <w:p w:rsidR="00195163" w:rsidRDefault="00195163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64F98BF4" wp14:editId="547B044E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6C62E5" w:rsidRDefault="002A1D62" w:rsidP="002A1D62">
          <w:pPr>
            <w:pStyle w:val="Encabez"/>
            <w:rPr>
              <w:b/>
              <w:sz w:val="22"/>
              <w:lang w:val="es-ES_tradnl"/>
            </w:rPr>
          </w:pPr>
          <w:r w:rsidRPr="006C62E5">
            <w:rPr>
              <w:b/>
              <w:sz w:val="22"/>
              <w:lang w:val="es-UY"/>
            </w:rPr>
            <w:t>Dirección General de Salud</w:t>
          </w:r>
        </w:p>
        <w:p w:rsidR="002A1D62" w:rsidRPr="006C62E5" w:rsidRDefault="002A1D62" w:rsidP="002A1D62">
          <w:pPr>
            <w:pStyle w:val="Encabez"/>
            <w:rPr>
              <w:b/>
              <w:sz w:val="22"/>
              <w:lang w:val="es-ES_tradnl"/>
            </w:rPr>
          </w:pPr>
          <w:r w:rsidRPr="006C62E5">
            <w:rPr>
              <w:b/>
              <w:sz w:val="22"/>
              <w:lang w:val="es-UY"/>
            </w:rPr>
            <w:t>Departamento de Medicamentos</w:t>
          </w:r>
        </w:p>
        <w:p w:rsidR="00D42D7B" w:rsidRPr="002A1D62" w:rsidRDefault="00BC63EB" w:rsidP="000E2260">
          <w:pPr>
            <w:pStyle w:val="Encabez"/>
            <w:rPr>
              <w:lang w:val="es-UY"/>
            </w:rPr>
          </w:pPr>
          <w:r w:rsidRPr="006C62E5">
            <w:rPr>
              <w:sz w:val="22"/>
              <w:lang w:val="es-ES"/>
            </w:rPr>
            <w:t>Lista de verificación para solicitud de Registro de Medicamento Biotecnológico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  <w:rPr>
              <w:lang w:val="es-UY"/>
            </w:rPr>
          </w:pPr>
          <w:r w:rsidRPr="00581776">
            <w:rPr>
              <w:lang w:val="es-UY"/>
            </w:rPr>
            <w:t>FO-</w:t>
          </w:r>
          <w:r w:rsidR="00F83C24">
            <w:rPr>
              <w:lang w:val="es-UY"/>
            </w:rPr>
            <w:t>13221-0</w:t>
          </w:r>
          <w:r w:rsidR="00BC63EB">
            <w:rPr>
              <w:lang w:val="es-UY"/>
            </w:rPr>
            <w:t>43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24502A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24502A">
            <w:rPr>
              <w:lang w:val="es-UY"/>
            </w:rPr>
            <w:t>3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23518"/>
    <w:rsid w:val="000263EE"/>
    <w:rsid w:val="0006693B"/>
    <w:rsid w:val="00075671"/>
    <w:rsid w:val="0008316F"/>
    <w:rsid w:val="000A1621"/>
    <w:rsid w:val="000A6057"/>
    <w:rsid w:val="000E2260"/>
    <w:rsid w:val="00122FC1"/>
    <w:rsid w:val="00123796"/>
    <w:rsid w:val="0013564A"/>
    <w:rsid w:val="00150496"/>
    <w:rsid w:val="00191D85"/>
    <w:rsid w:val="00195163"/>
    <w:rsid w:val="001A2D70"/>
    <w:rsid w:val="001A3C7C"/>
    <w:rsid w:val="001B064D"/>
    <w:rsid w:val="001D1DD9"/>
    <w:rsid w:val="001D7612"/>
    <w:rsid w:val="001D7878"/>
    <w:rsid w:val="00206987"/>
    <w:rsid w:val="00217BE3"/>
    <w:rsid w:val="0024502A"/>
    <w:rsid w:val="002544BF"/>
    <w:rsid w:val="002907D2"/>
    <w:rsid w:val="002A1D62"/>
    <w:rsid w:val="002B12FE"/>
    <w:rsid w:val="002D0B5E"/>
    <w:rsid w:val="002D410F"/>
    <w:rsid w:val="002E621D"/>
    <w:rsid w:val="002F173B"/>
    <w:rsid w:val="00303802"/>
    <w:rsid w:val="00341DCF"/>
    <w:rsid w:val="00343FA9"/>
    <w:rsid w:val="00360844"/>
    <w:rsid w:val="00364F66"/>
    <w:rsid w:val="003717AA"/>
    <w:rsid w:val="003B337D"/>
    <w:rsid w:val="003E50C5"/>
    <w:rsid w:val="003E5DCE"/>
    <w:rsid w:val="003F7F75"/>
    <w:rsid w:val="00424461"/>
    <w:rsid w:val="00426F77"/>
    <w:rsid w:val="004332F5"/>
    <w:rsid w:val="00440A8C"/>
    <w:rsid w:val="0044463B"/>
    <w:rsid w:val="004810E7"/>
    <w:rsid w:val="004C72AB"/>
    <w:rsid w:val="0051434D"/>
    <w:rsid w:val="00525E7E"/>
    <w:rsid w:val="00581776"/>
    <w:rsid w:val="005840F6"/>
    <w:rsid w:val="00585118"/>
    <w:rsid w:val="005B3B3C"/>
    <w:rsid w:val="005B3D75"/>
    <w:rsid w:val="005D2C99"/>
    <w:rsid w:val="005D6D56"/>
    <w:rsid w:val="005F2E85"/>
    <w:rsid w:val="00606490"/>
    <w:rsid w:val="006119ED"/>
    <w:rsid w:val="006204F1"/>
    <w:rsid w:val="00634F78"/>
    <w:rsid w:val="00643712"/>
    <w:rsid w:val="006564BB"/>
    <w:rsid w:val="006A6323"/>
    <w:rsid w:val="006A7FF4"/>
    <w:rsid w:val="006C62E5"/>
    <w:rsid w:val="006D218A"/>
    <w:rsid w:val="006D564C"/>
    <w:rsid w:val="0071201C"/>
    <w:rsid w:val="00717350"/>
    <w:rsid w:val="0075721F"/>
    <w:rsid w:val="00765176"/>
    <w:rsid w:val="007A236B"/>
    <w:rsid w:val="007B52B6"/>
    <w:rsid w:val="007D3E2C"/>
    <w:rsid w:val="007E5D2C"/>
    <w:rsid w:val="0081759E"/>
    <w:rsid w:val="00837AFE"/>
    <w:rsid w:val="0084368A"/>
    <w:rsid w:val="008836AD"/>
    <w:rsid w:val="00895C03"/>
    <w:rsid w:val="00914F91"/>
    <w:rsid w:val="009266FA"/>
    <w:rsid w:val="00935C79"/>
    <w:rsid w:val="00980968"/>
    <w:rsid w:val="00981147"/>
    <w:rsid w:val="009B08DD"/>
    <w:rsid w:val="009D6967"/>
    <w:rsid w:val="00A14B83"/>
    <w:rsid w:val="00A35226"/>
    <w:rsid w:val="00A44AF5"/>
    <w:rsid w:val="00A44C3B"/>
    <w:rsid w:val="00A7499D"/>
    <w:rsid w:val="00A774BB"/>
    <w:rsid w:val="00A819D8"/>
    <w:rsid w:val="00A82474"/>
    <w:rsid w:val="00B16B7E"/>
    <w:rsid w:val="00B2006E"/>
    <w:rsid w:val="00B42D23"/>
    <w:rsid w:val="00B467A3"/>
    <w:rsid w:val="00B52380"/>
    <w:rsid w:val="00B80CE8"/>
    <w:rsid w:val="00B82CE8"/>
    <w:rsid w:val="00BA1FAF"/>
    <w:rsid w:val="00BC63EB"/>
    <w:rsid w:val="00BF5899"/>
    <w:rsid w:val="00C20971"/>
    <w:rsid w:val="00C259B2"/>
    <w:rsid w:val="00C52546"/>
    <w:rsid w:val="00CE6FA9"/>
    <w:rsid w:val="00CF3276"/>
    <w:rsid w:val="00D06996"/>
    <w:rsid w:val="00D110B4"/>
    <w:rsid w:val="00D230CB"/>
    <w:rsid w:val="00D245FB"/>
    <w:rsid w:val="00D42D7B"/>
    <w:rsid w:val="00D916E1"/>
    <w:rsid w:val="00DB3606"/>
    <w:rsid w:val="00DD2BB2"/>
    <w:rsid w:val="00DD6FBB"/>
    <w:rsid w:val="00DE463D"/>
    <w:rsid w:val="00DF78C1"/>
    <w:rsid w:val="00E03D6A"/>
    <w:rsid w:val="00E124D2"/>
    <w:rsid w:val="00E15019"/>
    <w:rsid w:val="00E33DD0"/>
    <w:rsid w:val="00E54B42"/>
    <w:rsid w:val="00E736B7"/>
    <w:rsid w:val="00E73914"/>
    <w:rsid w:val="00EA755B"/>
    <w:rsid w:val="00EE3E16"/>
    <w:rsid w:val="00F02813"/>
    <w:rsid w:val="00F029DA"/>
    <w:rsid w:val="00F14A32"/>
    <w:rsid w:val="00F33580"/>
    <w:rsid w:val="00F72E27"/>
    <w:rsid w:val="00F80977"/>
    <w:rsid w:val="00F83C24"/>
    <w:rsid w:val="00F9545F"/>
    <w:rsid w:val="00FC7FCD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0CC84587-D158-4E23-A199-42F4FA6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link w:val="EncabezadoCar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24502A"/>
    <w:rPr>
      <w:rFonts w:ascii="Open Sans" w:hAnsi="Open Sans" w:cs="Open Sans"/>
      <w:b/>
      <w:bCs/>
      <w:lang w:val="es-MX" w:eastAsia="ar-SA"/>
    </w:rPr>
  </w:style>
  <w:style w:type="character" w:customStyle="1" w:styleId="PiedepginaCar">
    <w:name w:val="Pie de página Car"/>
    <w:basedOn w:val="Fuentedeprrafopredeter"/>
    <w:link w:val="Piedepgina"/>
    <w:rsid w:val="0024502A"/>
    <w:rPr>
      <w:rFonts w:ascii="Open Sans" w:hAnsi="Open Sans" w:cs="Open Sans"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BBF3-DAB0-464C-A2AA-3DB5053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6</cp:revision>
  <cp:lastPrinted>2021-09-17T15:51:00Z</cp:lastPrinted>
  <dcterms:created xsi:type="dcterms:W3CDTF">2021-10-14T18:32:00Z</dcterms:created>
  <dcterms:modified xsi:type="dcterms:W3CDTF">2023-03-27T15:13:00Z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