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spacing w:lineRule="exact" w:line="360"/>
        <w:jc w:val="both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</w:r>
    </w:p>
    <w:p>
      <w:pPr>
        <w:pStyle w:val="Ttulo1"/>
        <w:ind w:left="0" w:right="0" w:hanging="0"/>
        <w:jc w:val="center"/>
        <w:rPr>
          <w:rFonts w:ascii="Arial" w:hAnsi="Arial" w:eastAsia="MS Mincho" w:cs="Arial"/>
          <w:color w:val="000000"/>
          <w:kern w:val="2"/>
          <w:sz w:val="32"/>
          <w:szCs w:val="32"/>
          <w:u w:val="single"/>
          <w:lang w:eastAsia="es-UY" w:bidi="ar-SA"/>
        </w:rPr>
      </w:pPr>
      <w:r>
        <w:rPr>
          <w:rFonts w:eastAsia="MS Mincho" w:cs="Arial" w:ascii="Arial" w:hAnsi="Arial"/>
          <w:color w:val="000000"/>
          <w:kern w:val="2"/>
          <w:sz w:val="32"/>
          <w:szCs w:val="32"/>
          <w:u w:val="single"/>
          <w:lang w:eastAsia="es-UY" w:bidi="ar-SA"/>
        </w:rPr>
        <w:t>FORMULARIO PARA REALIZAR</w:t>
      </w:r>
    </w:p>
    <w:p>
      <w:pPr>
        <w:pStyle w:val="Ttulo1"/>
        <w:ind w:left="0" w:right="0" w:hanging="0"/>
        <w:jc w:val="center"/>
        <w:rPr>
          <w:rFonts w:ascii="Arial" w:hAnsi="Arial" w:eastAsia="MS Mincho" w:cs="Arial"/>
          <w:color w:val="000000"/>
          <w:kern w:val="2"/>
          <w:sz w:val="32"/>
          <w:szCs w:val="32"/>
          <w:u w:val="single"/>
          <w:lang w:eastAsia="es-UY" w:bidi="ar-SA"/>
        </w:rPr>
      </w:pPr>
      <w:r>
        <w:rPr>
          <w:rFonts w:eastAsia="MS Mincho" w:cs="Arial" w:ascii="Arial" w:hAnsi="Arial"/>
          <w:color w:val="000000"/>
          <w:kern w:val="2"/>
          <w:sz w:val="32"/>
          <w:szCs w:val="32"/>
          <w:u w:val="single"/>
          <w:lang w:eastAsia="es-UY" w:bidi="ar-SA"/>
        </w:rPr>
        <w:t xml:space="preserve">LA DEBIDA DILIGENCIA DEL </w:t>
      </w:r>
    </w:p>
    <w:p>
      <w:pPr>
        <w:pStyle w:val="Ttulo1"/>
        <w:ind w:left="0" w:right="0" w:hanging="0"/>
        <w:jc w:val="center"/>
        <w:rPr>
          <w:rFonts w:ascii="Arial" w:hAnsi="Arial" w:eastAsia="MS Mincho" w:cs="Arial"/>
          <w:color w:val="000000"/>
          <w:kern w:val="2"/>
          <w:sz w:val="32"/>
          <w:szCs w:val="32"/>
          <w:u w:val="single"/>
          <w:lang w:eastAsia="es-UY" w:bidi="ar-SA"/>
        </w:rPr>
      </w:pPr>
      <w:r>
        <w:rPr>
          <w:rFonts w:eastAsia="MS Mincho" w:cs="Arial" w:ascii="Arial" w:hAnsi="Arial"/>
          <w:color w:val="000000"/>
          <w:kern w:val="2"/>
          <w:sz w:val="32"/>
          <w:szCs w:val="32"/>
          <w:u w:val="single"/>
          <w:lang w:eastAsia="es-UY" w:bidi="ar-SA"/>
        </w:rPr>
        <w:t>CLIENTE PERSONA FÍSICA</w:t>
      </w:r>
    </w:p>
    <w:p>
      <w:pPr>
        <w:pStyle w:val="Ttulo1"/>
        <w:ind w:left="0" w:right="0" w:hanging="0"/>
        <w:jc w:val="center"/>
        <w:rPr>
          <w:rFonts w:ascii="Arial" w:hAnsi="Arial" w:eastAsia="MS Mincho" w:cs="Arial"/>
          <w:color w:val="000000"/>
          <w:kern w:val="2"/>
          <w:sz w:val="22"/>
          <w:szCs w:val="22"/>
          <w:u w:val="single"/>
          <w:lang w:eastAsia="es-UY" w:bidi="ar-SA"/>
        </w:rPr>
      </w:pPr>
      <w:r>
        <w:rPr>
          <w:rFonts w:eastAsia="MS Mincho" w:cs="Arial" w:ascii="Arial" w:hAnsi="Arial"/>
          <w:color w:val="000000"/>
          <w:kern w:val="2"/>
          <w:sz w:val="22"/>
          <w:szCs w:val="22"/>
          <w:u w:val="single"/>
          <w:lang w:eastAsia="es-UY" w:bidi="ar-SA"/>
        </w:rPr>
      </w:r>
    </w:p>
    <w:p>
      <w:pPr>
        <w:pStyle w:val="Ttulo11"/>
        <w:jc w:val="center"/>
        <w:rPr/>
      </w:pPr>
      <w:r>
        <w:rPr>
          <w:rStyle w:val="Fuentedeprrafopredeter"/>
          <w:rFonts w:cs="Arial" w:ascii="Arial" w:hAnsi="Arial"/>
          <w:color w:val="000000"/>
          <w:sz w:val="22"/>
          <w:szCs w:val="22"/>
          <w:highlight w:val="white"/>
        </w:rPr>
        <w:t>(excluidos S</w:t>
      </w:r>
      <w:r>
        <w:rPr>
          <w:rStyle w:val="Fuentedeprrafopredeter"/>
          <w:rFonts w:cs="Arial" w:ascii="Arial" w:hAnsi="Arial"/>
          <w:b/>
          <w:bCs/>
          <w:color w:val="000000"/>
          <w:sz w:val="22"/>
          <w:szCs w:val="22"/>
          <w:highlight w:val="white"/>
        </w:rPr>
        <w:t xml:space="preserve">ujetos Obligados  del art. 70 del </w:t>
      </w:r>
    </w:p>
    <w:p>
      <w:pPr>
        <w:pStyle w:val="Ttulo11"/>
        <w:jc w:val="center"/>
        <w:rPr/>
      </w:pPr>
      <w:r>
        <w:rPr>
          <w:rStyle w:val="Fuentedeprrafopredeter"/>
          <w:rFonts w:eastAsia="MS Mincho" w:cs="Arial" w:ascii="Arial" w:hAnsi="Arial"/>
          <w:b/>
          <w:bCs/>
          <w:color w:val="000000"/>
          <w:kern w:val="2"/>
          <w:sz w:val="22"/>
          <w:szCs w:val="22"/>
          <w:highlight w:val="white"/>
          <w:u w:val="single"/>
          <w:lang w:eastAsia="es-UY" w:bidi="ar-SA"/>
        </w:rPr>
        <w:t>Decreto Nº 379/018,  de 12 de noviembre de 2018)</w:t>
      </w:r>
    </w:p>
    <w:p>
      <w:pPr>
        <w:pStyle w:val="Normal"/>
        <w:spacing w:lineRule="exact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exact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exact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exact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exact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exact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exact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exact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ntentsHeading"/>
        <w:jc w:val="both"/>
        <w:rPr>
          <w:rFonts w:ascii="Arial" w:hAnsi="Arial"/>
          <w:color w:val="365F91"/>
          <w:sz w:val="22"/>
          <w:szCs w:val="22"/>
        </w:rPr>
      </w:pPr>
      <w:r>
        <w:rPr>
          <w:color w:val="365F91"/>
          <w:sz w:val="22"/>
          <w:szCs w:val="22"/>
        </w:rPr>
      </w:r>
    </w:p>
    <w:p>
      <w:pPr>
        <w:pStyle w:val="ContentsHeading"/>
        <w:jc w:val="both"/>
        <w:rPr>
          <w:rFonts w:ascii="Arial" w:hAnsi="Arial"/>
          <w:color w:val="365F91"/>
          <w:sz w:val="22"/>
          <w:szCs w:val="22"/>
        </w:rPr>
      </w:pPr>
      <w:r>
        <w:rPr>
          <w:color w:val="365F91"/>
          <w:sz w:val="22"/>
          <w:szCs w:val="22"/>
        </w:rPr>
      </w:r>
    </w:p>
    <w:p>
      <w:pPr>
        <w:pStyle w:val="ContentsHeading"/>
        <w:jc w:val="both"/>
        <w:rPr>
          <w:rFonts w:ascii="Arial" w:hAnsi="Arial"/>
          <w:color w:val="365F91"/>
          <w:sz w:val="22"/>
          <w:szCs w:val="22"/>
          <w:lang w:val="en-US"/>
        </w:rPr>
      </w:pPr>
      <w:r>
        <w:rPr>
          <w:color w:val="365F91"/>
          <w:sz w:val="22"/>
          <w:szCs w:val="22"/>
          <w:lang w:val="en-US"/>
        </w:rPr>
      </w:r>
    </w:p>
    <w:p>
      <w:pPr>
        <w:pStyle w:val="Normal"/>
        <w:widowControl/>
        <w:spacing w:lineRule="auto" w:line="276" w:before="0" w:after="200"/>
        <w:jc w:val="both"/>
        <w:rPr>
          <w:rFonts w:ascii="Arial" w:hAnsi="Arial"/>
          <w:color w:val="365F91"/>
          <w:sz w:val="22"/>
          <w:szCs w:val="22"/>
          <w:lang w:val="en-US"/>
        </w:rPr>
      </w:pPr>
      <w:r>
        <w:rPr>
          <w:rFonts w:ascii="Arial" w:hAnsi="Arial"/>
          <w:color w:val="365F91"/>
          <w:sz w:val="22"/>
          <w:szCs w:val="22"/>
          <w:lang w:val="en-US"/>
        </w:rPr>
      </w:r>
      <w:r>
        <w:br w:type="page"/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PRECISIONES  PREVIAS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A) </w:t>
      </w:r>
      <w:r>
        <w:rPr>
          <w:rFonts w:eastAsia="Arial Unicode MS" w:cs="Arial Unicode MS" w:ascii="Arial" w:hAnsi="Arial"/>
          <w:b w:val="false"/>
          <w:bCs w:val="false"/>
          <w:color w:val="000000"/>
          <w:kern w:val="0"/>
          <w:sz w:val="22"/>
          <w:szCs w:val="22"/>
          <w:lang w:val="es-ES" w:eastAsia="es-ES" w:bidi="es-ES"/>
        </w:rPr>
        <w:t xml:space="preserve"> El presente</w:t>
      </w:r>
      <w:r>
        <w:rPr>
          <w:rFonts w:ascii="Arial" w:hAnsi="Arial"/>
          <w:b w:val="false"/>
          <w:bCs w:val="false"/>
          <w:sz w:val="22"/>
          <w:szCs w:val="22"/>
        </w:rPr>
        <w:t xml:space="preserve"> formulario ha sido redactado como guía de actuación para el Sujeto Obligado, pudiendo ser utilizada para que sirva como referencia y punto de apoyo en su sistema de prevención del lavado de activos, financiamiento del terrorismo y proliferación de armas de destrucción masiva (en adelante LAFTPADM),  en relación a la debida diligencia  </w:t>
      </w:r>
      <w:r>
        <w:rPr>
          <w:rFonts w:eastAsia="Arial Unicode MS" w:cs="Arial Unicode MS" w:ascii="Arial" w:hAnsi="Arial"/>
          <w:b w:val="false"/>
          <w:bCs w:val="false"/>
          <w:color w:val="000000"/>
          <w:kern w:val="0"/>
          <w:sz w:val="22"/>
          <w:szCs w:val="22"/>
          <w:lang w:val="es-ES" w:eastAsia="es-ES" w:bidi="es-ES"/>
        </w:rPr>
        <w:t>del</w:t>
      </w:r>
      <w:r>
        <w:rPr>
          <w:rFonts w:ascii="Arial" w:hAnsi="Arial"/>
          <w:b w:val="false"/>
          <w:bCs w:val="false"/>
          <w:sz w:val="22"/>
          <w:szCs w:val="22"/>
        </w:rPr>
        <w:t xml:space="preserve"> cliente, pero de ninguna forma  sustituye la obligación que la Ley pone a su cargo de realizar el respectivo análisis de riesgo, previo al inicio y/o al mantenimiento de la relación con su cliente. La información detallada infra tiene </w:t>
      </w:r>
      <w:r>
        <w:rPr>
          <w:rFonts w:eastAsia="Arial Unicode MS" w:cs="Arial Unicode MS" w:ascii="Arial" w:hAnsi="Arial"/>
          <w:b w:val="false"/>
          <w:bCs w:val="false"/>
          <w:color w:val="000000"/>
          <w:kern w:val="0"/>
          <w:sz w:val="22"/>
          <w:szCs w:val="22"/>
          <w:lang w:val="es-ES" w:eastAsia="es-ES" w:bidi="es-ES"/>
        </w:rPr>
        <w:t>carácter</w:t>
      </w:r>
      <w:r>
        <w:rPr>
          <w:rFonts w:ascii="Arial" w:hAnsi="Arial"/>
          <w:b w:val="false"/>
          <w:bCs w:val="false"/>
          <w:sz w:val="22"/>
          <w:szCs w:val="22"/>
        </w:rPr>
        <w:t xml:space="preserve"> meramente ilustrativo, de acuerdo a la  normativa vigente.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B) </w:t>
      </w:r>
      <w:r>
        <w:rPr>
          <w:rFonts w:ascii="Arial" w:hAnsi="Arial"/>
          <w:b w:val="false"/>
          <w:bCs w:val="false"/>
          <w:sz w:val="22"/>
          <w:szCs w:val="22"/>
        </w:rPr>
        <w:t>Previo a completar el presente formulario, el Sujeto Obligado  deberá realizar  el correspondiente análisis de riesgo que la Ley pone a su cargo, el que deberá además constar por escrito  y del cual se obtendrán los datos necesarios para completar el mismo.</w:t>
      </w:r>
      <w:r>
        <w:rPr>
          <w:rStyle w:val="Ancladenotaalpie"/>
          <w:rStyle w:val="Ancladenotaalpie"/>
          <w:rFonts w:ascii="Arial" w:hAnsi="Arial"/>
          <w:b w:val="false"/>
          <w:bCs w:val="false"/>
          <w:sz w:val="22"/>
          <w:szCs w:val="22"/>
        </w:rPr>
        <w:footnoteReference w:id="2"/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C) </w:t>
      </w:r>
      <w:r>
        <w:rPr>
          <w:rFonts w:ascii="Arial" w:hAnsi="Arial"/>
          <w:b w:val="false"/>
          <w:bCs w:val="false"/>
          <w:sz w:val="22"/>
          <w:szCs w:val="22"/>
        </w:rPr>
        <w:t>La conservación de la información del cliente y la documentación respaldante de la debida diligencia,  deberá ser conservada en el domicilio donde desarrolla su actividad</w:t>
      </w:r>
      <w:r>
        <w:rPr>
          <w:rFonts w:ascii="Arial" w:hAnsi="Arial"/>
          <w:sz w:val="22"/>
          <w:szCs w:val="22"/>
        </w:rPr>
        <w:t xml:space="preserve"> el sujeto obligado</w:t>
      </w:r>
      <w:r>
        <w:rPr>
          <w:rFonts w:ascii="Arial" w:hAnsi="Arial"/>
          <w:b w:val="false"/>
          <w:bCs w:val="false"/>
          <w:sz w:val="22"/>
          <w:szCs w:val="22"/>
        </w:rPr>
        <w:t>, por un plazo mínimo de 5 años (extensible hasta 10 años), en un formato que asegure su integridad, permita  la reconstrucción de operaciones individuales con rapidez, quedando a disposición de la Senaclaft.</w:t>
      </w:r>
      <w:r>
        <w:rPr>
          <w:rStyle w:val="Ancladenotaalpie"/>
          <w:rStyle w:val="Ancladenotaalpie"/>
          <w:rFonts w:ascii="Arial" w:hAnsi="Arial"/>
          <w:b w:val="false"/>
          <w:bCs w:val="false"/>
          <w:sz w:val="22"/>
          <w:szCs w:val="22"/>
        </w:rPr>
        <w:footnoteReference w:id="3"/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  <w:t xml:space="preserve"> </w:t>
      </w:r>
      <w:r>
        <w:br w:type="page"/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u w:val="single"/>
          <w:lang w:val="es-ES" w:eastAsia="es-ES" w:bidi="es-ES"/>
        </w:rPr>
        <w:t>DEBIDA DILIGENCIA DEL CLIENTE PERSONA FÍSICA</w:t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1. BÚSQUEDAS Y ANTECEDENTES</w:t>
      </w:r>
    </w:p>
    <w:p>
      <w:pPr>
        <w:pStyle w:val="Normal"/>
        <w:jc w:val="both"/>
        <w:rPr>
          <w:rFonts w:ascii="Arial" w:hAnsi="Arial" w:eastAsia="Arial Unicode MS" w:cs="Arial Unicode MS"/>
          <w:b w:val="false"/>
          <w:b w:val="false"/>
          <w:bCs w:val="false"/>
          <w:i/>
          <w:i/>
          <w:iCs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 w:val="false"/>
          <w:bCs w:val="false"/>
          <w:i/>
          <w:iCs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1.1 Verificación listas Naciones Unidas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es-ES" w:eastAsia="es-ES" w:bidi="es-ES"/>
        </w:rPr>
        <w:t>Verificación de las listas confeccionadas en función de las resoluciones del Consejo de Seguridad de Naciones Unidas números S/RES/1267, S/RES/1998, S/RES/1989, S/RES/1718, S/RES/1737, S/RES/2231, sus sucesivas concordantes y complementarias que se emitan sobre la materia, así como las actualizaciones de dichos listados efectuados por los respectivos Comités de Seguridad de Naciones Unidas y las designaciones de personas físicas en virtud de la resolución del</w:t>
      </w:r>
      <w:r>
        <w:rPr>
          <w:rFonts w:cs="Calibri" w:ascii="Arial" w:hAnsi="Arial"/>
          <w:b/>
          <w:bCs/>
          <w:i w:val="false"/>
          <w:iCs w:val="false"/>
          <w:sz w:val="22"/>
          <w:szCs w:val="22"/>
        </w:rPr>
        <w:t xml:space="preserve">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es-ES" w:eastAsia="es-ES" w:bidi="es-ES"/>
        </w:rPr>
        <w:t>Consejo de Seguridad de Naciones Unidas número S/RES/1373 y comunicados o puestas a disposición en la página web por la Senaclaft (se agrega link a continuación), conservando la documentación respaldante</w:t>
      </w:r>
    </w:p>
    <w:p>
      <w:pPr>
        <w:pStyle w:val="Normal"/>
        <w:jc w:val="both"/>
        <w:rPr>
          <w:rFonts w:ascii="Arial" w:hAnsi="Arial" w:cs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Calibri" w:ascii="Arial" w:hAnsi="Arial"/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hyperlink r:id="rId2">
        <w:r>
          <w:rPr>
            <w:rStyle w:val="EnlacedeInternet"/>
            <w:rFonts w:cs="Calibri" w:ascii="Arial" w:hAnsi="Arial"/>
            <w:b w:val="false"/>
            <w:bCs w:val="false"/>
            <w:sz w:val="22"/>
            <w:szCs w:val="22"/>
          </w:rPr>
          <w:t>https://www.un.org/securitycouncil/es/content/un-sc-consolidated-list</w:t>
        </w:r>
      </w:hyperlink>
      <w:r>
        <w:rPr>
          <w:rFonts w:cs="Calibri"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i w:val="false"/>
          <w:iCs w:val="false"/>
          <w:sz w:val="22"/>
          <w:szCs w:val="22"/>
        </w:rPr>
        <w:t xml:space="preserve">Se agregan búsquedas. </w:t>
      </w: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Indicar con una X, la opción correspondiente</w:t>
      </w:r>
      <w:r>
        <w:rPr>
          <w:rFonts w:cs="Calibri" w:ascii="Arial" w:hAnsi="Arial"/>
          <w:b/>
          <w:bCs/>
          <w:i w:val="false"/>
          <w:iCs w:val="false"/>
          <w:sz w:val="22"/>
          <w:szCs w:val="22"/>
        </w:rPr>
        <w:t xml:space="preserve">      </w:t>
      </w:r>
    </w:p>
    <w:tbl>
      <w:tblPr>
        <w:tblW w:w="850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1"/>
        <w:gridCol w:w="4257"/>
      </w:tblGrid>
      <w:tr>
        <w:trPr/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Si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No</w:t>
            </w:r>
          </w:p>
        </w:tc>
      </w:tr>
      <w:tr>
        <w:trPr/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 Unicode MS" w:cs="Calibri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1.2 Búsqueda de antecedentes de personas físicas en fuentes públicas o privadas:</w:t>
      </w:r>
      <w:r>
        <w:rPr>
          <w:rFonts w:eastAsia="Arial Unicode MS" w:cs="Calibri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es-ES" w:eastAsia="es-ES" w:bidi="es-ES"/>
        </w:rPr>
        <w:t xml:space="preserve"> para determinar su posible vinculación con actividades ilícitas o su pertenencia a otras categorías de riesgo, tales como PEP, conservando la documentación respaldante. Detalle las fuentes donde se realizaron las búsquedas</w:t>
      </w:r>
    </w:p>
    <w:tbl>
      <w:tblPr>
        <w:tblW w:w="850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8"/>
      </w:tblGrid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Arial" w:hAnsi="Arial"/>
          <w:b/>
          <w:bCs/>
          <w:i w:val="false"/>
          <w:iCs w:val="false"/>
          <w:sz w:val="22"/>
          <w:szCs w:val="22"/>
        </w:rPr>
        <w:t xml:space="preserve">Se agrega documentación respaldante. </w:t>
      </w: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Indicar con una X, la opción correspondiente</w:t>
      </w:r>
      <w:r>
        <w:rPr>
          <w:rFonts w:cs="Calibri" w:ascii="Arial" w:hAnsi="Arial"/>
          <w:b/>
          <w:bCs/>
          <w:i w:val="false"/>
          <w:iCs w:val="false"/>
          <w:sz w:val="22"/>
          <w:szCs w:val="22"/>
        </w:rPr>
        <w:t xml:space="preserve">    </w:t>
      </w:r>
    </w:p>
    <w:tbl>
      <w:tblPr>
        <w:tblW w:w="850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1"/>
        <w:gridCol w:w="4257"/>
      </w:tblGrid>
      <w:tr>
        <w:trPr/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Si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No</w:t>
            </w:r>
          </w:p>
        </w:tc>
      </w:tr>
      <w:tr>
        <w:trPr/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Calibri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Calibri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/>
      </w:pPr>
      <w:r>
        <w:rPr>
          <w:rStyle w:val="Fuentedeprrafopredeter"/>
          <w:rFonts w:ascii="Arial" w:hAnsi="Arial"/>
          <w:b/>
          <w:bCs/>
          <w:sz w:val="22"/>
          <w:szCs w:val="22"/>
        </w:rPr>
        <w:t>2. MONTO Y FORMA DE LA TRANSACCIÓN</w:t>
      </w:r>
      <w:r>
        <w:rPr>
          <w:rStyle w:val="Ancladenotaalpie"/>
          <w:rStyle w:val="Ancladenotaalpie"/>
          <w:rFonts w:ascii="Arial" w:hAnsi="Arial"/>
          <w:b/>
          <w:bCs/>
          <w:sz w:val="22"/>
          <w:szCs w:val="22"/>
        </w:rPr>
        <w:footnoteReference w:id="4"/>
      </w:r>
    </w:p>
    <w:p>
      <w:pPr>
        <w:pStyle w:val="Normal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tbl>
      <w:tblPr>
        <w:tblW w:w="8490" w:type="dxa"/>
        <w:jc w:val="left"/>
        <w:tblInd w:w="5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29"/>
        <w:gridCol w:w="4261"/>
      </w:tblGrid>
      <w:tr>
        <w:trPr/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Moneda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Monto total de la transacción</w:t>
            </w:r>
          </w:p>
        </w:tc>
      </w:tr>
      <w:tr>
        <w:trPr/>
        <w:tc>
          <w:tcPr>
            <w:tcW w:w="42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Style w:val="Fuentedeprrafopredeter"/>
          <w:rFonts w:ascii="Arial" w:hAnsi="Arial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Style w:val="Fuentedeprrafopredeter"/>
          <w:rFonts w:ascii="Arial" w:hAnsi="Arial"/>
          <w:b/>
          <w:bCs/>
          <w:sz w:val="22"/>
          <w:szCs w:val="22"/>
        </w:rPr>
        <w:t>2.1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Se utiliza dinero en efectivo. Indicar con una X, la opción correspondiente</w:t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 el caso de haber marcado la opción afirmativa en el casillero anterior, ingresar monto, moneda y fecha del pago en efectivo</w:t>
      </w:r>
    </w:p>
    <w:tbl>
      <w:tblPr>
        <w:tblW w:w="8518" w:type="dxa"/>
        <w:jc w:val="left"/>
        <w:tblInd w:w="51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49"/>
        <w:gridCol w:w="2835"/>
        <w:gridCol w:w="2834"/>
      </w:tblGrid>
      <w:tr>
        <w:trPr/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Moneda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</w:t>
            </w:r>
          </w:p>
        </w:tc>
      </w:tr>
      <w:tr>
        <w:trPr/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rFonts w:ascii="Arial" w:hAnsi="Arial"/>
          <w:b/>
          <w:bCs/>
          <w:sz w:val="22"/>
          <w:szCs w:val="22"/>
        </w:rPr>
        <w:t xml:space="preserve">2.2 </w:t>
      </w:r>
      <w:r>
        <w:rPr>
          <w:rFonts w:ascii="Arial" w:hAnsi="Arial"/>
          <w:b/>
          <w:bCs/>
          <w:sz w:val="22"/>
          <w:szCs w:val="22"/>
        </w:rPr>
        <w:t>Se utiliza medios de pago electrónico, tales como transferencias bancarias u otros instrumentos de pago emitidos por instituciones de intermediación financiera, o de los que estas fueran obligadas al pago, o valores de los que estas fueran depositarias. Indicar con una X, la opción correspondiente</w:t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Ingresar monto, moneda y fecha del pago</w:t>
      </w:r>
    </w:p>
    <w:tbl>
      <w:tblPr>
        <w:tblW w:w="8506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34"/>
        <w:gridCol w:w="2835"/>
        <w:gridCol w:w="2837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Moneda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del pago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Descripción del medio de pago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rFonts w:ascii="Arial" w:hAnsi="Arial"/>
          <w:b/>
          <w:bCs/>
          <w:sz w:val="22"/>
          <w:szCs w:val="22"/>
        </w:rPr>
        <w:t xml:space="preserve">2.3 </w:t>
      </w:r>
      <w:r>
        <w:rPr>
          <w:rFonts w:ascii="Arial" w:hAnsi="Arial"/>
          <w:b/>
          <w:bCs/>
          <w:sz w:val="22"/>
          <w:szCs w:val="22"/>
        </w:rPr>
        <w:t>Se utiliza una cuenta de origen de los fondos o valores, radicada en institución de intermediación financiera del exterior, situada en país que cumple estándares internacionales en materia de lavado de activos y financiamiento del terrorismo. Indicar con una X, la opción correspondiente</w:t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rFonts w:ascii="Arial" w:hAnsi="Arial"/>
          <w:b/>
          <w:bCs/>
          <w:sz w:val="22"/>
          <w:szCs w:val="22"/>
        </w:rPr>
        <w:t>2.4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Sé utiliza una cuenta de destino de los fondos o valores, radicada en</w:t>
      </w:r>
      <w:r>
        <w:rPr>
          <w:rFonts w:ascii="Arial" w:hAnsi="Arial"/>
          <w:sz w:val="22"/>
          <w:szCs w:val="22"/>
        </w:rPr>
        <w:t xml:space="preserve"> i</w:t>
      </w:r>
      <w:r>
        <w:rPr>
          <w:rFonts w:ascii="Arial" w:hAnsi="Arial"/>
          <w:b/>
          <w:bCs/>
          <w:sz w:val="22"/>
          <w:szCs w:val="22"/>
        </w:rPr>
        <w:t>nstitución de intermediación financiera del exterior, situada en país que cumple estándares internacionales en materia de lavado de activos y financiamiento del terrorismo. Indicar con una X, la opción correspondiente</w:t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rFonts w:ascii="Arial" w:hAnsi="Arial"/>
          <w:b/>
          <w:bCs/>
          <w:sz w:val="22"/>
          <w:szCs w:val="22"/>
        </w:rPr>
        <w:t>2.5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El ordenante de pago, es un sujeto diferente al cliente. Indicar con una X, la opción correspondiente</w:t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Style w:val="Fuentedeprrafopredeter"/>
          <w:rFonts w:ascii="Arial" w:hAnsi="Arial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>
          <w:rStyle w:val="Fuentedeprrafopredeter"/>
          <w:rFonts w:ascii="Arial" w:hAnsi="Arial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>
          <w:rStyle w:val="Fuentedeprrafopredeter"/>
          <w:rFonts w:ascii="Arial" w:hAnsi="Arial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Style w:val="Fuentedeprrafopredeter"/>
          <w:rFonts w:ascii="Arial" w:hAnsi="Arial"/>
          <w:b/>
          <w:bCs/>
          <w:sz w:val="22"/>
          <w:szCs w:val="22"/>
        </w:rPr>
        <w:t xml:space="preserve">2.6 </w:t>
      </w:r>
      <w:r>
        <w:rPr>
          <w:rFonts w:ascii="Arial" w:hAnsi="Arial"/>
          <w:b/>
          <w:bCs/>
          <w:sz w:val="22"/>
          <w:szCs w:val="22"/>
        </w:rPr>
        <w:t>Para la transacción se utilizan nuevas tecnologías o en desarrollo que favorezcan el anonimato, como ser criptomonedas, y en general todas aquellas operaciones que prestan características de riesgo o señales de alerta</w:t>
      </w:r>
      <w:r>
        <w:rPr>
          <w:rStyle w:val="Ancladenotaalpie"/>
          <w:rStyle w:val="Ancladenotaalpie"/>
          <w:rFonts w:ascii="Arial" w:hAnsi="Arial"/>
          <w:b/>
          <w:bCs/>
          <w:sz w:val="22"/>
          <w:szCs w:val="22"/>
        </w:rPr>
        <w:footnoteReference w:id="5"/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rFonts w:ascii="Arial" w:hAnsi="Arial"/>
          <w:b/>
          <w:bCs/>
          <w:sz w:val="22"/>
          <w:szCs w:val="22"/>
        </w:rPr>
        <w:t>3. OTRAS CARACTERÍSTICAS DEL CLIENTE O DE LA OPERACIÓN RELEVANTES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rFonts w:ascii="Arial" w:hAnsi="Arial"/>
          <w:b/>
          <w:bCs/>
          <w:sz w:val="22"/>
          <w:szCs w:val="22"/>
        </w:rPr>
        <w:t>3.1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El cliente, es residente de país que cumple estándares internacionales en materia de  prevención y lucha contra el lavado de activos y financiamiento del terrorismo. Indicar con una X, la opción correspondiente</w:t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Style w:val="Fuentedeprrafopredeter"/>
          <w:rFonts w:ascii="Arial" w:hAnsi="Arial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Style w:val="Fuentedeprrafopredeter"/>
          <w:rFonts w:ascii="Arial" w:hAnsi="Arial"/>
          <w:b/>
          <w:bCs/>
          <w:sz w:val="22"/>
          <w:szCs w:val="22"/>
        </w:rPr>
        <w:t>3.2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>El cliente, es residente de alguna jurisdicción de baja o nula tributación (BONT) de acuerdo con la lista que emite la Dirección General Impositiva. Se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>agrega link para su confirmación</w:t>
      </w:r>
    </w:p>
    <w:p>
      <w:pPr>
        <w:pStyle w:val="Normal"/>
        <w:jc w:val="both"/>
        <w:rPr/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Lista BONT en sitio de DGI :</w:t>
      </w:r>
      <w:r>
        <w:rPr>
          <w:rStyle w:val="Ancladenotaalpie"/>
          <w:rStyle w:val="Ancladenotaalpie"/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footnoteReference w:id="6"/>
      </w:r>
    </w:p>
    <w:p>
      <w:pPr>
        <w:pStyle w:val="Normal"/>
        <w:jc w:val="both"/>
        <w:rPr/>
      </w:pPr>
      <w:hyperlink r:id="rId3" w:tgtFrame="_blank">
        <w:r>
          <w:rPr>
            <w:rStyle w:val="EnlacedeInternet"/>
          </w:rPr>
          <w:t>https://www.dgi.gub.uy/wdgi/page?2,principal,_Ampliacion,O,es,0,PAG;CONC;381;1;D;paises-jurisdicciones-y-</w:t>
        </w:r>
      </w:hyperlink>
      <w:hyperlink r:id="rId4" w:tgtFrame="_blank">
        <w:r>
          <w:rPr>
            <w:rStyle w:val="EnlacedeInternet"/>
          </w:rPr>
          <w:t>regimenes-especiales-de-baja-o-nula-tributacion-bont;1;PAG</w:t>
        </w:r>
      </w:hyperlink>
      <w:r>
        <w:rPr>
          <w:rStyle w:val="Fuentedeprrafopredeter"/>
          <w:rFonts w:ascii="Arial" w:hAnsi="Arial"/>
          <w:b/>
          <w:bCs/>
          <w:i/>
          <w:iCs/>
          <w:color w:val="5983B0"/>
          <w:sz w:val="22"/>
          <w:szCs w:val="22"/>
        </w:rPr>
        <w:t>;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Indicar con una X, la opción correspondiente</w:t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 caso de que la respuesta anterior hubiera sido afirmativa, incluir la jurisdicción de residencia</w:t>
      </w:r>
    </w:p>
    <w:tbl>
      <w:tblPr>
        <w:tblW w:w="8506" w:type="dxa"/>
        <w:jc w:val="left"/>
        <w:tblInd w:w="14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6"/>
      </w:tblGrid>
      <w:tr>
        <w:trPr/>
        <w:tc>
          <w:tcPr>
            <w:tcW w:w="8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rFonts w:ascii="Arial" w:hAnsi="Arial"/>
          <w:b/>
          <w:bCs/>
          <w:sz w:val="22"/>
          <w:szCs w:val="22"/>
        </w:rPr>
        <w:t xml:space="preserve">3.3 </w:t>
      </w:r>
      <w:r>
        <w:rPr>
          <w:rFonts w:ascii="Arial" w:hAnsi="Arial"/>
          <w:b/>
          <w:bCs/>
          <w:sz w:val="22"/>
          <w:szCs w:val="22"/>
        </w:rPr>
        <w:t>La operación implica la presencia física de las partes o de quienes los representen</w:t>
      </w:r>
      <w:r>
        <w:rPr>
          <w:rStyle w:val="Ancladenotaalpie"/>
          <w:rStyle w:val="Ancladenotaalpie"/>
          <w:rFonts w:ascii="Arial" w:hAnsi="Arial"/>
          <w:b/>
          <w:bCs/>
          <w:sz w:val="22"/>
          <w:szCs w:val="22"/>
        </w:rPr>
        <w:footnoteReference w:id="7"/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Style w:val="Ancladenotaalpie"/>
          <w:rFonts w:ascii="Arial" w:hAnsi="Arial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 DATOS PERSONA FÍSICA</w:t>
      </w:r>
    </w:p>
    <w:tbl>
      <w:tblPr>
        <w:tblW w:w="850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8"/>
      </w:tblGrid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Nombre y apellido completo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y lugar de nacimiento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Documento de identidad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Estado Civil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Domicilio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95" w:hRule="atLeast"/>
        </w:trPr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939393" w:val="clear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Profesión, oficio o actividad principal</w:t>
            </w:r>
          </w:p>
        </w:tc>
      </w:tr>
      <w:tr>
        <w:trPr>
          <w:trHeight w:val="195" w:hRule="atLeast"/>
        </w:trPr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</w:tc>
      </w:tr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hd w:fill="A5A5A5" w:val="clear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es-ES"/>
              </w:rPr>
              <w:t>Nombre y apellido  cónyuge o concubino/a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</w:tc>
      </w:tr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 xml:space="preserve">Documento de identidad </w:t>
            </w:r>
            <w:r>
              <w:rPr>
                <w:rFonts w:eastAsia="Arial Unicode MS" w:cs="Arial Unicode MS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es-ES"/>
              </w:rPr>
              <w:t xml:space="preserve"> cónyuge o concubino/a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vanish w:val="false"/>
          <w:sz w:val="22"/>
          <w:szCs w:val="22"/>
        </w:rPr>
      </w:pPr>
      <w:r>
        <w:rPr>
          <w:rFonts w:ascii="Arial" w:hAnsi="Arial"/>
          <w:b/>
          <w:bCs/>
          <w:vanish w:val="false"/>
          <w:sz w:val="22"/>
          <w:szCs w:val="22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color w:val="000000"/>
          <w:sz w:val="22"/>
          <w:szCs w:val="22"/>
          <w:lang w:val="es-ES" w:eastAsia="es-ES" w:bidi="es-ES"/>
        </w:rPr>
        <w:t>5. ACTÚA  A NOMBRE PROPIO O DE UN TERCERO</w:t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Si el cliente actúa a nombre propio o de un tercero, indicar con una X, la opción correspondiente</w:t>
      </w:r>
    </w:p>
    <w:tbl>
      <w:tblPr>
        <w:tblW w:w="850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1"/>
        <w:gridCol w:w="4257"/>
      </w:tblGrid>
      <w:tr>
        <w:trPr>
          <w:trHeight w:val="195" w:hRule="atLeast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999999" w:val="clear"/>
          </w:tcPr>
          <w:p>
            <w:pPr>
              <w:pStyle w:val="Contenidodelatabla"/>
              <w:shd w:fill="939393" w:val="clear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Actúa a nombre propio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939393" w:val="clear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Actúa a nombre de un tercero</w:t>
            </w:r>
          </w:p>
        </w:tc>
      </w:tr>
      <w:tr>
        <w:trPr>
          <w:trHeight w:val="195" w:hRule="atLeast"/>
        </w:trPr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En caso de actuar a nombre de un tercero, se debe completar la siguiente información:</w:t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Para el caso de que el tercero sea Persona Física:</w:t>
      </w:r>
    </w:p>
    <w:tbl>
      <w:tblPr>
        <w:tblW w:w="850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8"/>
      </w:tblGrid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Nombre y apellido completo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y lugar de nacimiento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Documento de identidad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Estado Civil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Domicilio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95" w:hRule="atLeast"/>
        </w:trPr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939393" w:val="clear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Profesión, oficio o actividad principal</w:t>
            </w:r>
          </w:p>
        </w:tc>
      </w:tr>
      <w:tr>
        <w:trPr>
          <w:trHeight w:val="195" w:hRule="atLeast"/>
        </w:trPr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</w:tc>
      </w:tr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Nombre y apellido del</w:t>
            </w:r>
            <w:r>
              <w:rPr>
                <w:rFonts w:eastAsia="Arial Unicode MS" w:cs="Arial Unicode MS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es-ES"/>
              </w:rPr>
              <w:t xml:space="preserve"> cónyuge o concubino/a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</w:tc>
      </w:tr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 xml:space="preserve">Documento de identidad del </w:t>
            </w:r>
            <w:r>
              <w:rPr>
                <w:rFonts w:eastAsia="Arial Unicode MS" w:cs="Arial Unicode MS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es-ES"/>
              </w:rPr>
              <w:t xml:space="preserve"> cónyuge o concubino/a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vanish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vanish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Para el caso de que el tercero sea Persona: Jurídica:</w:t>
      </w:r>
    </w:p>
    <w:tbl>
      <w:tblPr>
        <w:tblW w:w="856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69"/>
      </w:tblGrid>
      <w:tr>
        <w:trPr/>
        <w:tc>
          <w:tcPr>
            <w:tcW w:w="8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Denominación</w:t>
            </w:r>
          </w:p>
        </w:tc>
      </w:tr>
      <w:tr>
        <w:trPr/>
        <w:tc>
          <w:tcPr>
            <w:tcW w:w="8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y lugar de constitución</w:t>
            </w:r>
          </w:p>
        </w:tc>
      </w:tr>
      <w:tr>
        <w:trPr/>
        <w:tc>
          <w:tcPr>
            <w:tcW w:w="8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Domicilio</w:t>
            </w:r>
          </w:p>
        </w:tc>
      </w:tr>
      <w:tr>
        <w:trPr/>
        <w:tc>
          <w:tcPr>
            <w:tcW w:w="8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Actividad Principal</w:t>
            </w:r>
          </w:p>
        </w:tc>
      </w:tr>
      <w:tr>
        <w:trPr/>
        <w:tc>
          <w:tcPr>
            <w:tcW w:w="8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R.U.T. o equivalente al país de origen, indicando el país de origen</w:t>
            </w:r>
          </w:p>
        </w:tc>
      </w:tr>
      <w:tr>
        <w:trPr/>
        <w:tc>
          <w:tcPr>
            <w:tcW w:w="8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vanish w:val="false"/>
          <w:sz w:val="22"/>
          <w:szCs w:val="22"/>
        </w:rPr>
      </w:pPr>
      <w:r>
        <w:rPr>
          <w:rFonts w:ascii="Arial" w:hAnsi="Arial"/>
          <w:b/>
          <w:bCs/>
          <w:vanish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Nombres, apellidos, documentos de identidad y estado civil de los socios o accionistas del tercero persona jurídica, que posean como mínimo el 15% del capital integrado o su equivalente, o de los derechos de voto, o que por otros medios ejerzan el control final sobre el tercero persona jurídica</w:t>
      </w:r>
    </w:p>
    <w:tbl>
      <w:tblPr>
        <w:tblW w:w="8506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27"/>
        <w:gridCol w:w="2126"/>
        <w:gridCol w:w="2126"/>
        <w:gridCol w:w="2127"/>
      </w:tblGrid>
      <w:tr>
        <w:trPr/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Apellido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Documento de identidad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Estado civil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/>
                <w:i/>
                <w:iCs/>
                <w:vanish w:val="false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 w:val="false"/>
                <w:bCs w:val="false"/>
                <w:i/>
                <w:iCs/>
                <w:vanish w:val="false"/>
                <w:color w:val="000000"/>
                <w:sz w:val="22"/>
                <w:szCs w:val="22"/>
                <w:lang w:val="es-ES" w:eastAsia="es-ES" w:bidi="es-ES"/>
              </w:rPr>
            </w:r>
          </w:p>
        </w:tc>
      </w:tr>
    </w:tbl>
    <w:p>
      <w:pPr>
        <w:pStyle w:val="Normal"/>
        <w:tabs>
          <w:tab w:val="clear" w:pos="720"/>
          <w:tab w:val="left" w:pos="3165" w:leader="none"/>
        </w:tabs>
        <w:jc w:val="both"/>
        <w:rPr>
          <w:rFonts w:ascii="Arial" w:hAnsi="Arial" w:eastAsia="Arial Unicode MS" w:cs="Arial Unicode MS"/>
          <w:b w:val="false"/>
          <w:b w:val="false"/>
          <w:bCs w:val="false"/>
          <w:i/>
          <w:i/>
          <w:iCs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 w:val="false"/>
          <w:bCs w:val="false"/>
          <w:i/>
          <w:iCs/>
          <w:color w:val="000000"/>
          <w:sz w:val="22"/>
          <w:szCs w:val="22"/>
          <w:lang w:val="es-ES" w:eastAsia="es-ES" w:bidi="es-ES"/>
        </w:rPr>
      </w:r>
    </w:p>
    <w:tbl>
      <w:tblPr>
        <w:tblW w:w="856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69"/>
      </w:tblGrid>
      <w:tr>
        <w:trPr/>
        <w:tc>
          <w:tcPr>
            <w:tcW w:w="8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Aclarar la calidad de los sujetos identificados en los casilleros anteriores</w:t>
            </w:r>
          </w:p>
        </w:tc>
      </w:tr>
      <w:tr>
        <w:trPr/>
        <w:tc>
          <w:tcPr>
            <w:tcW w:w="8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3165" w:leader="none"/>
        </w:tabs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vanish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vanish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tabs>
          <w:tab w:val="clear" w:pos="720"/>
          <w:tab w:val="left" w:pos="3165" w:leader="none"/>
        </w:tabs>
        <w:jc w:val="both"/>
        <w:rPr>
          <w:rFonts w:ascii="Arial" w:hAnsi="Arial"/>
          <w:sz w:val="22"/>
          <w:szCs w:val="22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 xml:space="preserve">Nombre, apellido y documento de identidad </w:t>
      </w:r>
      <w:r>
        <w:rPr>
          <w:rFonts w:eastAsia="Arial Unicode MS" w:cs="Arial Unicode MS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2"/>
          <w:szCs w:val="22"/>
          <w:u w:val="none"/>
          <w:em w:val="none"/>
          <w:lang w:val="es-ES" w:eastAsia="es-ES" w:bidi="es-ES"/>
        </w:rPr>
        <w:t>del cónyuge o concubino/a de los sujetos mencionados en el casillero anterior</w:t>
      </w:r>
    </w:p>
    <w:tbl>
      <w:tblPr>
        <w:tblW w:w="850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34"/>
        <w:gridCol w:w="2835"/>
        <w:gridCol w:w="2839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Nombre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Apellido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Documento de identidad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/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6. BENEFICIARIO FINAL</w:t>
      </w:r>
      <w:r>
        <w:rPr>
          <w:rStyle w:val="Ancladenotaalpie"/>
          <w:rStyle w:val="Ancladenotaalpie"/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footnoteReference w:id="8"/>
      </w:r>
    </w:p>
    <w:tbl>
      <w:tblPr>
        <w:tblW w:w="850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8"/>
      </w:tblGrid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Nombre y apellido completo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y lugar de nacimiento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Documento de identidad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Estado Civil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Domicilio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95" w:hRule="atLeast"/>
        </w:trPr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939393" w:val="clear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Profesión, oficio o actividad principal</w:t>
            </w:r>
          </w:p>
        </w:tc>
      </w:tr>
      <w:tr>
        <w:trPr>
          <w:trHeight w:val="195" w:hRule="atLeast"/>
        </w:trPr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</w:tc>
      </w:tr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 xml:space="preserve">Nombre y apellido del </w:t>
            </w:r>
            <w:r>
              <w:rPr>
                <w:rFonts w:eastAsia="Arial Unicode MS" w:cs="Arial Unicode MS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es-ES"/>
              </w:rPr>
              <w:t>cónyuge o concubino/a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</w:tc>
      </w:tr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 xml:space="preserve">Documento de identidad del </w:t>
            </w:r>
            <w:r>
              <w:rPr>
                <w:rFonts w:eastAsia="Arial Unicode MS" w:cs="Arial Unicode MS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es-ES"/>
              </w:rPr>
              <w:t>cónyuge o concubino/a</w:t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Arial Unicode MS"/>
                <w:vanish w:val="false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vanish w:val="false"/>
                <w:color w:val="000000"/>
                <w:sz w:val="22"/>
                <w:szCs w:val="22"/>
                <w:lang w:val="es-ES" w:eastAsia="es-ES" w:bidi="es-ES"/>
              </w:rPr>
            </w:r>
          </w:p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vanish w:val="false"/>
          <w:color w:val="000000"/>
          <w:spacing w:val="0"/>
          <w:kern w:val="0"/>
          <w:sz w:val="22"/>
          <w:szCs w:val="22"/>
          <w:u w:val="none"/>
          <w:em w:val="none"/>
          <w:lang w:val="es-ES" w:eastAsia="es-ES" w:bidi="es-ES"/>
        </w:rPr>
      </w:pPr>
      <w:r>
        <w:rPr>
          <w:rFonts w:eastAsia="Arial Unicode MS" w:cs="Arial Unicode MS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vanish w:val="false"/>
          <w:color w:val="000000"/>
          <w:spacing w:val="0"/>
          <w:kern w:val="0"/>
          <w:sz w:val="22"/>
          <w:szCs w:val="22"/>
          <w:u w:val="none"/>
          <w:em w:val="none"/>
          <w:lang w:val="es-ES" w:eastAsia="es-ES" w:bidi="es-ES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2"/>
          <w:szCs w:val="22"/>
          <w:u w:val="none"/>
          <w:em w:val="none"/>
          <w:lang w:val="es-ES" w:eastAsia="es-ES" w:bidi="es-ES"/>
        </w:rPr>
        <w:t xml:space="preserve">Se agrega declaración por escrito del beneficiario final de la persona jurídica o de su representante legal o voluntario  </w:t>
      </w:r>
      <w:r>
        <w:rPr>
          <w:rFonts w:cs="Calibri" w:ascii="Arial" w:hAnsi="Arial"/>
          <w:b w:val="false"/>
          <w:bCs w:val="false"/>
          <w:i w:val="false"/>
          <w:iCs w:val="false"/>
          <w:sz w:val="22"/>
          <w:szCs w:val="22"/>
        </w:rPr>
        <w:t xml:space="preserve">   </w:t>
      </w:r>
    </w:p>
    <w:tbl>
      <w:tblPr>
        <w:tblW w:w="850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1"/>
        <w:gridCol w:w="4257"/>
      </w:tblGrid>
      <w:tr>
        <w:trPr/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Si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No</w:t>
            </w:r>
          </w:p>
        </w:tc>
      </w:tr>
      <w:tr>
        <w:trPr/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napToGrid w:val="false"/>
        <w:jc w:val="both"/>
        <w:rPr>
          <w:rFonts w:ascii="Arial" w:hAnsi="Arial" w:eastAsia="Arial Unicode MS" w:cs="Calibri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Calibri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7. VOLUMEN DE INGRESOS O EXPLICACIÓN RAZONABLE Y/O JUSTIFICACIÓN SOBRE EL ORIGEN DE LOS FONDOS MANEJADOS EN LA TRANSACCIÓN O INFORMACIÓN CIRCUNSTANCIADA DEL MISMO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50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8"/>
      </w:tblGrid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vanish w:val="false"/>
          <w:sz w:val="22"/>
          <w:szCs w:val="22"/>
        </w:rPr>
      </w:pPr>
      <w:r>
        <w:rPr>
          <w:rFonts w:ascii="Arial" w:hAnsi="Arial"/>
          <w:b/>
          <w:bCs/>
          <w:vanish w:val="false"/>
          <w:sz w:val="22"/>
          <w:szCs w:val="22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8. PROPÓSITO Y NATURALEZA DE LA RELACIÓN COMERCIAL Y/O LA TRANSACCIÓN  A REALIZAR</w:t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tbl>
      <w:tblPr>
        <w:tblW w:w="850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8"/>
      </w:tblGrid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vanish w:val="false"/>
          <w:sz w:val="22"/>
          <w:szCs w:val="22"/>
        </w:rPr>
      </w:pPr>
      <w:r>
        <w:rPr>
          <w:rFonts w:ascii="Arial" w:hAnsi="Arial"/>
          <w:b/>
          <w:bCs/>
          <w:vanish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9. EL CLIENTE O EL BENEFICIARIO FINAL  SON PERSONAS POLíTICAMENTE EXPUESTAS (PEP)</w:t>
      </w:r>
      <w:r>
        <w:rPr>
          <w:rStyle w:val="Ancladenotaalpie"/>
          <w:rStyle w:val="Ancladenotaalpie"/>
          <w:rFonts w:cs="Calibri" w:ascii="Arial" w:hAnsi="Arial"/>
          <w:b/>
          <w:bCs/>
          <w:sz w:val="22"/>
          <w:szCs w:val="22"/>
        </w:rPr>
        <w:footnoteReference w:id="9"/>
      </w:r>
    </w:p>
    <w:p>
      <w:pPr>
        <w:pStyle w:val="Normal"/>
        <w:jc w:val="both"/>
        <w:rPr>
          <w:rFonts w:ascii="Arial" w:hAnsi="Arial" w:cs="Calibri"/>
          <w:b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9.1 Cliente.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es-ES" w:eastAsia="es-ES" w:bidi="es-ES"/>
        </w:rPr>
        <w:t xml:space="preserve"> Indicar con una X ,si el cliente es PEP</w:t>
      </w:r>
    </w:p>
    <w:tbl>
      <w:tblPr>
        <w:tblW w:w="8504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1"/>
        <w:gridCol w:w="4253"/>
      </w:tblGrid>
      <w:tr>
        <w:trPr/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Si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No</w:t>
            </w:r>
          </w:p>
        </w:tc>
      </w:tr>
      <w:tr>
        <w:trPr/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 xml:space="preserve">    </w:t>
      </w:r>
    </w:p>
    <w:p>
      <w:pPr>
        <w:pStyle w:val="Standard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En caso afirmativo, detalle el cargo</w:t>
      </w:r>
    </w:p>
    <w:tbl>
      <w:tblPr>
        <w:tblW w:w="8506" w:type="dxa"/>
        <w:jc w:val="left"/>
        <w:tblInd w:w="8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6"/>
      </w:tblGrid>
      <w:tr>
        <w:trPr/>
        <w:tc>
          <w:tcPr>
            <w:tcW w:w="8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</w:r>
    </w:p>
    <w:p>
      <w:pPr>
        <w:pStyle w:val="Standard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 caso de que el cliente sea PEP, indicar si se acredita su calidad por una declaración por escrito o por otro medio. En este último caso, especificar el medio utilizado y agregar el mismo</w:t>
      </w:r>
    </w:p>
    <w:tbl>
      <w:tblPr>
        <w:tblW w:w="8506" w:type="dxa"/>
        <w:jc w:val="left"/>
        <w:tblInd w:w="8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6"/>
      </w:tblGrid>
      <w:tr>
        <w:trPr/>
        <w:tc>
          <w:tcPr>
            <w:tcW w:w="8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9.2 Beneficiario final.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es-ES" w:eastAsia="es-ES" w:bidi="es-ES"/>
        </w:rPr>
        <w:t xml:space="preserve"> Indicar con una X, si el beneficiario final es PEP</w:t>
      </w:r>
    </w:p>
    <w:tbl>
      <w:tblPr>
        <w:tblW w:w="8504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1"/>
        <w:gridCol w:w="4253"/>
      </w:tblGrid>
      <w:tr>
        <w:trPr/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Si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No</w:t>
            </w:r>
          </w:p>
        </w:tc>
      </w:tr>
      <w:tr>
        <w:trPr/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En caso afirmativo, detalle el cargo</w:t>
      </w:r>
    </w:p>
    <w:tbl>
      <w:tblPr>
        <w:tblW w:w="8506" w:type="dxa"/>
        <w:jc w:val="left"/>
        <w:tblInd w:w="8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6"/>
      </w:tblGrid>
      <w:tr>
        <w:trPr/>
        <w:tc>
          <w:tcPr>
            <w:tcW w:w="8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Arial" w:hAnsi="Arial" w:eastAsia="Arial Unicode MS" w:cs="Arial Unicode M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 w:val="false"/>
          <w:bCs w:val="false"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Standard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 caso de que el beneficiario final sea PEP, indicar si se acredita su calidad por una declaración por escrito o por otro medio. En este último caso, especificar el medio utilizado y agregar el mismo</w:t>
      </w:r>
    </w:p>
    <w:tbl>
      <w:tblPr>
        <w:tblW w:w="8506" w:type="dxa"/>
        <w:jc w:val="left"/>
        <w:tblInd w:w="8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6"/>
      </w:tblGrid>
      <w:tr>
        <w:trPr/>
        <w:tc>
          <w:tcPr>
            <w:tcW w:w="8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En caso que la respuesta anterior hubiera sido afirmativa, indicar si se acredita su calidad de PEP por una declaración por escrito o por otro medio. En este último caso, especificar el medio utilizado y agregar el mismo</w:t>
      </w:r>
    </w:p>
    <w:tbl>
      <w:tblPr>
        <w:tblW w:w="850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8"/>
      </w:tblGrid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9.3 Tiene el cliente o el beneficiario final alguna de las siguientes relaciones con un PEP: es cónyuge,  concubino, pariente por consanguinidad o afinidad hasta el segundo grado, así como los asociados cercanos a ellas cuando estos sean de público conocimiento y quienes realicen operaciones en su nombre</w:t>
      </w:r>
      <w:r>
        <w:rPr>
          <w:rStyle w:val="Ancladenotaalpie"/>
          <w:rStyle w:val="Ancladenotaalpie"/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footnoteReference w:id="10"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8504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1"/>
        <w:gridCol w:w="4253"/>
      </w:tblGrid>
      <w:tr>
        <w:trPr/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Si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No</w:t>
            </w:r>
          </w:p>
        </w:tc>
      </w:tr>
      <w:tr>
        <w:trPr/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Indique que relación tiene con el PEP, el nombre y apellido completo del mismo y su cargo</w:t>
      </w:r>
    </w:p>
    <w:tbl>
      <w:tblPr>
        <w:tblW w:w="850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8"/>
      </w:tblGrid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10. DECLARACIÓN DE REGULARIDAD FISCAL DEJANDO CONSTANCIA DE TAL SITUACIÓN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Indicar con una X, cual de los documentos siguientes se agrega</w:t>
      </w:r>
    </w:p>
    <w:tbl>
      <w:tblPr>
        <w:tblW w:w="852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2"/>
        <w:gridCol w:w="1722"/>
      </w:tblGrid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Declaración de regularidad fiscal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Copias de las declaraciones juradas presentadas ante la administración tributaria correspondiente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Constancia emitida que establece que el cliente se encuentra al día con sus obligaciones tributarias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Carta emitida por los profesionales que lo asesoran en materia tributaria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12. DECLARACIÓN JURADA  PRESENTADA  ANTE EL B.C.U. (cuando corresponda)</w:t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Indicar con una X, si se adjunta el documento correspondiente</w:t>
      </w:r>
    </w:p>
    <w:tbl>
      <w:tblPr>
        <w:tblW w:w="852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2"/>
        <w:gridCol w:w="1722"/>
      </w:tblGrid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Copia certificada de la declaración jurada presentada en el Registro del Banco Central del Uruguay (Ley Nº 18.930, de 17 de julio de 2012 y Ley Nº 19.484, de 5 de enero de 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13. PLAN DE NEGOCIOS (cuando corresponda)</w:t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Indicar con una X, si se adjunta el documento correspondiente</w:t>
      </w:r>
    </w:p>
    <w:tbl>
      <w:tblPr>
        <w:tblW w:w="852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2"/>
        <w:gridCol w:w="1722"/>
      </w:tblGrid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es-ES" w:eastAsia="es-ES" w:bidi="es-ES"/>
              </w:rPr>
              <w:t>Plan de Negocios que fuera presentado ante el Área de Zonas Francas de la Dirección General de Comercio del Ministerio de Economía y Finanzas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14. INFORMACIÓN CIRCUNSTANCIADA (cuando corresponda)</w:t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Indicar con una X, si se adjunta el documento correspondiente</w:t>
      </w:r>
    </w:p>
    <w:tbl>
      <w:tblPr>
        <w:tblW w:w="850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809"/>
        <w:gridCol w:w="1699"/>
      </w:tblGrid>
      <w:tr>
        <w:trPr>
          <w:trHeight w:val="195" w:hRule="atLeast"/>
        </w:trPr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es-ES" w:eastAsia="es-ES" w:bidi="es-ES"/>
              </w:rPr>
              <w:t>En este documento se deberá indicar la razonabilidad económica de la transacción que se realiza y si se trata de un cliente habitual u ocasional, así como, el riesgo de lavado de activos, financiamiento del terrorismo y proliferación de armas de destrucción masiva que representan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color w:val="000000"/>
                <w:sz w:val="22"/>
                <w:szCs w:val="22"/>
                <w:lang w:val="es-ES" w:eastAsia="es-ES" w:bidi="es-ES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15. OBSERVACIONES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En caso de agregar alguna información adicional o realizar alguna aclaración: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es-ES" w:eastAsia="es-ES" w:bidi="es-ES"/>
        </w:rPr>
        <w:t xml:space="preserve"> </w:t>
      </w:r>
    </w:p>
    <w:tbl>
      <w:tblPr>
        <w:tblW w:w="850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8"/>
      </w:tblGrid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lang w:val="es-ES" w:eastAsia="es-ES" w:bidi="es-ES"/>
        </w:rPr>
      </w:pPr>
      <w:r>
        <w:rPr>
          <w:rFonts w:eastAsia="Arial Unicode MS" w:cs="Arial Unicode MS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lang w:val="es-ES" w:eastAsia="es-ES" w:bidi="es-ES"/>
        </w:rPr>
      </w:r>
    </w:p>
    <w:p>
      <w:pPr>
        <w:pStyle w:val="Normal"/>
        <w:jc w:val="both"/>
        <w:rPr/>
      </w:pPr>
      <w:r>
        <w:rPr>
          <w:rFonts w:eastAsia="Arial Unicode MS" w:cs="Arial Unicode MS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lang w:val="es-ES" w:eastAsia="es-ES" w:bidi="es-ES"/>
        </w:rPr>
        <w:t xml:space="preserve">16. </w:t>
      </w:r>
      <w:r>
        <w:rPr>
          <w:rFonts w:eastAsia="Arial Unicode MS" w:cs="Arial Unicode MS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2"/>
          <w:szCs w:val="22"/>
          <w:u w:val="none"/>
          <w:em w:val="none"/>
          <w:lang w:val="es-ES" w:eastAsia="es-ES" w:bidi="es-ES"/>
        </w:rPr>
        <w:t>CATEGORIZACIÓN DEL CLIENTE Y/O LA OPERACIÓN (CÓMO MÍNIMO EN RIESGO ALTO, MEDIO Y BAJO)</w:t>
      </w:r>
      <w:r>
        <w:rPr>
          <w:rStyle w:val="Ancladenotaalpie"/>
          <w:rStyle w:val="Ancladenotaalpie"/>
          <w:rFonts w:eastAsia="Arial Unicode MS" w:cs="Arial Unicode MS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2"/>
          <w:szCs w:val="22"/>
          <w:u w:val="none"/>
          <w:em w:val="none"/>
          <w:lang w:val="es-ES" w:eastAsia="es-ES" w:bidi="es-ES"/>
        </w:rPr>
        <w:footnoteReference w:id="11"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 Unicode MS" w:cs="Arial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" w:ascii="Arial" w:hAnsi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Indicar con una X, según corresponda</w:t>
      </w:r>
    </w:p>
    <w:tbl>
      <w:tblPr>
        <w:tblW w:w="852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2"/>
        <w:gridCol w:w="5122"/>
      </w:tblGrid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Riesgo Alto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Riesgo Medio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eastAsia="Arial Unicode MS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Riesgo Bajo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852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2"/>
        <w:gridCol w:w="5122"/>
      </w:tblGrid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Lugar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Fecha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Firma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 xml:space="preserve">Aclaración de </w:t>
            </w: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f</w:t>
            </w: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irma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Style w:val="Ancladenotaalpie"/>
          <w:rFonts w:ascii="Arial" w:hAnsi="Arial" w:cs="Calibri"/>
          <w:b/>
          <w:b/>
          <w:bCs/>
          <w:sz w:val="22"/>
          <w:szCs w:val="22"/>
        </w:rPr>
      </w:pPr>
      <w:r>
        <w:rPr>
          <w:rFonts w:ascii="Arial" w:hAnsi="Arial"/>
          <w:vanish w:val="false"/>
          <w:sz w:val="22"/>
          <w:szCs w:val="22"/>
        </w:rPr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1701" w:right="1701" w:header="720" w:top="1417" w:footer="1417" w:bottom="202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  <w:font w:name="Segoe UI">
    <w:charset w:val="00"/>
    <w:family w:val="swiss"/>
    <w:pitch w:val="variable"/>
  </w:font>
  <w:font w:name="segoe ui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bidi w:val="0"/>
        <w:spacing w:lineRule="auto" w:before="0" w:after="0"/>
        <w:ind w:left="0" w:right="0" w:hanging="0"/>
        <w:jc w:val="both"/>
        <w:rPr/>
      </w:pPr>
      <w:r>
        <w:rPr>
          <w:rStyle w:val="Caracteresdenotaalpie"/>
        </w:rPr>
        <w:footnoteRef/>
      </w:r>
      <w:r>
        <w:rPr>
          <w:rFonts w:eastAsia="Segoe UI"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0"/>
          <w:u w:val="none"/>
          <w:em w:val="none"/>
        </w:rPr>
        <w:t xml:space="preserve"> </w:t>
      </w:r>
      <w:r>
        <w:rPr>
          <w:rFonts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0"/>
          <w:u w:val="none"/>
          <w:em w:val="none"/>
        </w:rPr>
        <w:t>Artículo 16 de la Ley Nº 19.574, de fecha 20 de diciembre de 2017 y artículos 4  10 y 71 del Decreto Nº 379/018, de fecha 12 de noviembre de 2018</w:t>
      </w:r>
    </w:p>
  </w:footnote>
  <w:footnote w:id="3">
    <w:p>
      <w:pPr>
        <w:pStyle w:val="Normal"/>
        <w:jc w:val="both"/>
        <w:rPr/>
      </w:pPr>
      <w:r>
        <w:rPr>
          <w:rStyle w:val="Caracteresdenotaalpie"/>
        </w:rPr>
        <w:footnoteRef/>
      </w:r>
      <w:r>
        <w:rPr>
          <w:rFonts w:eastAsia="Segoe UI"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0"/>
          <w:u w:val="none"/>
          <w:em w:val="none"/>
        </w:rPr>
        <w:t xml:space="preserve"> </w:t>
      </w:r>
      <w:r>
        <w:rPr>
          <w:rFonts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0"/>
          <w:u w:val="none"/>
          <w:em w:val="none"/>
        </w:rPr>
        <w:t>Artículo 21 de la Ley Nº 19.574, de fecha 20 de diciembre de 2017  y artículo 15 del Decreto Nº 379/018, de fecha 12 de noviembre de 2018</w:t>
      </w:r>
    </w:p>
    <w:p>
      <w:pPr>
        <w:pStyle w:val="Normal"/>
        <w:rPr/>
      </w:pPr>
      <w:r>
        <w:rPr/>
      </w:r>
    </w:p>
  </w:footnote>
  <w:footnote w:id="4">
    <w:p>
      <w:pPr>
        <w:pStyle w:val="Notaalpie"/>
        <w:ind w:left="0" w:right="0" w:hanging="0"/>
        <w:jc w:val="both"/>
        <w:rPr/>
      </w:pPr>
      <w:r>
        <w:rPr>
          <w:rStyle w:val="Caracteresdenotaalpie"/>
        </w:rPr>
        <w:footnoteRef/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 </w:t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Artículo 35 de la Ley </w:t>
      </w:r>
      <w:r>
        <w:rPr>
          <w:rStyle w:val="Fuentedeprrafopredeter"/>
          <w:rFonts w:cs="Segoe UI" w:ascii="Segoe UI" w:hAnsi="Segoe UI"/>
          <w:color w:val="000000"/>
          <w:sz w:val="20"/>
          <w:szCs w:val="20"/>
          <w:lang w:val="es-ES"/>
        </w:rPr>
        <w:t>Nº</w:t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 19.210, de </w:t>
      </w:r>
      <w:bookmarkStart w:id="0" w:name="OBJ_PREFIX_DWT684_com_zimbra_date"/>
      <w:bookmarkStart w:id="1" w:name="OBJ_PREFIX_DWT666_com_zimbra_date"/>
      <w:bookmarkEnd w:id="0"/>
      <w:bookmarkEnd w:id="1"/>
      <w:r>
        <w:rPr>
          <w:rStyle w:val="Fuentedeprrafopredeter"/>
          <w:rFonts w:cs="Segoe UI" w:ascii="Segoe UI" w:hAnsi="Segoe UI"/>
          <w:sz w:val="20"/>
          <w:szCs w:val="20"/>
        </w:rPr>
        <w:t xml:space="preserve">29 de abril de 2014, en la redacción dada por el artículo 221 de la Ley </w:t>
      </w:r>
      <w:r>
        <w:rPr>
          <w:rStyle w:val="Fuentedeprrafopredeter"/>
          <w:rFonts w:cs="Segoe UI" w:ascii="Segoe UI" w:hAnsi="Segoe UI"/>
          <w:color w:val="000000"/>
          <w:sz w:val="20"/>
          <w:szCs w:val="20"/>
          <w:lang w:val="es-ES"/>
        </w:rPr>
        <w:t>Nº</w:t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 19.889, de </w:t>
      </w:r>
      <w:bookmarkStart w:id="2" w:name="OBJ_PREFIX_DWT667_com_zimbra_date"/>
      <w:bookmarkStart w:id="3" w:name="OBJ_PREFIX_DWT685_com_zimbra_date"/>
      <w:bookmarkEnd w:id="2"/>
      <w:bookmarkEnd w:id="3"/>
      <w:r>
        <w:rPr>
          <w:rStyle w:val="Fuentedeprrafopredeter"/>
          <w:rFonts w:cs="Segoe UI" w:ascii="Segoe UI" w:hAnsi="Segoe UI"/>
          <w:sz w:val="20"/>
          <w:szCs w:val="20"/>
        </w:rPr>
        <w:t xml:space="preserve">9 de julio de 2020, artículo 35 bis de la Ley </w:t>
      </w:r>
      <w:r>
        <w:rPr>
          <w:rStyle w:val="Fuentedeprrafopredeter"/>
          <w:rFonts w:cs="Segoe UI" w:ascii="Segoe UI" w:hAnsi="Segoe UI"/>
          <w:color w:val="000000"/>
          <w:sz w:val="20"/>
          <w:szCs w:val="20"/>
          <w:lang w:val="es-ES"/>
        </w:rPr>
        <w:t>Nº</w:t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 19.210, con el agregado hecho por el artículo 222 de la Ley </w:t>
      </w:r>
      <w:r>
        <w:rPr>
          <w:rStyle w:val="Fuentedeprrafopredeter"/>
          <w:rFonts w:cs="Segoe UI" w:ascii="Segoe UI" w:hAnsi="Segoe UI"/>
          <w:color w:val="000000"/>
          <w:sz w:val="20"/>
          <w:szCs w:val="20"/>
          <w:lang w:val="es-ES"/>
        </w:rPr>
        <w:t>Nº</w:t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 19.889, de </w:t>
      </w:r>
      <w:bookmarkStart w:id="4" w:name="OBJ_PREFIX_DWT668_com_zimbra_date"/>
      <w:bookmarkStart w:id="5" w:name="OBJ_PREFIX_DWT686_com_zimbra_date"/>
      <w:bookmarkEnd w:id="4"/>
      <w:bookmarkEnd w:id="5"/>
      <w:r>
        <w:rPr>
          <w:rStyle w:val="Fuentedeprrafopredeter"/>
          <w:rFonts w:cs="Segoe UI" w:ascii="Segoe UI" w:hAnsi="Segoe UI"/>
          <w:sz w:val="20"/>
          <w:szCs w:val="20"/>
        </w:rPr>
        <w:t xml:space="preserve">9 de julio de 2020 e incisos 2, 3, 4 del artículo 17 de la de la Ley </w:t>
      </w:r>
      <w:r>
        <w:rPr>
          <w:rStyle w:val="Fuentedeprrafopredeter"/>
          <w:rFonts w:cs="Segoe UI" w:ascii="Segoe UI" w:hAnsi="Segoe UI"/>
          <w:color w:val="000000"/>
          <w:sz w:val="20"/>
          <w:szCs w:val="20"/>
          <w:lang w:val="es-ES"/>
        </w:rPr>
        <w:t>Nº</w:t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 19.574, de </w:t>
      </w:r>
      <w:bookmarkStart w:id="6" w:name="OBJ_PREFIX_DWT669_com_zimbra_date"/>
      <w:bookmarkStart w:id="7" w:name="OBJ_PREFIX_DWT687_com_zimbra_date"/>
      <w:bookmarkEnd w:id="6"/>
      <w:bookmarkEnd w:id="7"/>
      <w:r>
        <w:rPr>
          <w:rStyle w:val="Fuentedeprrafopredeter"/>
          <w:rFonts w:cs="Segoe UI" w:ascii="Segoe UI" w:hAnsi="Segoe UI"/>
          <w:sz w:val="20"/>
          <w:szCs w:val="20"/>
        </w:rPr>
        <w:t xml:space="preserve">20 de diciembre de 2017, con el agregado hecho por el artículo 225 de la Ley </w:t>
      </w:r>
      <w:r>
        <w:rPr>
          <w:rStyle w:val="Fuentedeprrafopredeter"/>
          <w:rFonts w:cs="Segoe UI" w:ascii="Segoe UI" w:hAnsi="Segoe UI"/>
          <w:color w:val="000000"/>
          <w:sz w:val="20"/>
          <w:szCs w:val="20"/>
          <w:lang w:val="es-ES"/>
        </w:rPr>
        <w:t>Nº</w:t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 19.889, de </w:t>
      </w:r>
      <w:bookmarkStart w:id="8" w:name="OBJ_PREFIX_DWT670_com_zimbra_date"/>
      <w:bookmarkStart w:id="9" w:name="OBJ_PREFIX_DWT688_com_zimbra_date"/>
      <w:bookmarkEnd w:id="8"/>
      <w:bookmarkEnd w:id="9"/>
      <w:r>
        <w:rPr>
          <w:rStyle w:val="Fuentedeprrafopredeter"/>
          <w:rFonts w:cs="Segoe UI" w:ascii="Segoe UI" w:hAnsi="Segoe UI"/>
          <w:sz w:val="20"/>
          <w:szCs w:val="20"/>
        </w:rPr>
        <w:t>9 de julio de 2020</w:t>
      </w:r>
    </w:p>
    <w:p>
      <w:pPr>
        <w:pStyle w:val="Notaalpie"/>
        <w:spacing w:before="0" w:after="0"/>
        <w:ind w:left="0" w:right="0" w:hanging="0"/>
        <w:jc w:val="both"/>
        <w:rPr>
          <w:rFonts w:ascii="segoe ui;sans-serif" w:hAnsi="segoe ui;sans-serif"/>
        </w:rPr>
      </w:pPr>
      <w:r>
        <w:rPr>
          <w:rFonts w:ascii="segoe ui;sans-serif" w:hAnsi="segoe ui;sans-serif"/>
        </w:rPr>
      </w:r>
    </w:p>
    <w:p>
      <w:pPr>
        <w:pStyle w:val="Notaalpie"/>
        <w:ind w:left="0" w:right="0" w:hanging="0"/>
        <w:jc w:val="both"/>
        <w:rPr>
          <w:rStyle w:val="Fuentedeprrafopredeter"/>
          <w:rFonts w:ascii="Segoe UI" w:hAnsi="Segoe UI" w:cs="Segoe UI"/>
          <w:szCs w:val="24"/>
        </w:rPr>
      </w:pPr>
      <w:r>
        <w:rPr/>
      </w:r>
    </w:p>
  </w:footnote>
  <w:footnote w:id="5">
    <w:p>
      <w:pPr>
        <w:pStyle w:val="Normal"/>
        <w:rPr/>
      </w:pPr>
      <w:r>
        <w:rPr>
          <w:rStyle w:val="Caracteresdenotaalpie"/>
        </w:rPr>
        <w:footnoteRef/>
      </w:r>
      <w:r>
        <w:rPr>
          <w:rStyle w:val="Fuentedeprrafopredeter"/>
          <w:rFonts w:eastAsia="Segoe UI"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0"/>
          <w:szCs w:val="24"/>
          <w:u w:val="none"/>
          <w:em w:val="none"/>
          <w:lang w:val="es-ES" w:eastAsia="es-ES" w:bidi="es-ES"/>
        </w:rPr>
        <w:t xml:space="preserve"> </w:t>
      </w:r>
      <w:r>
        <w:rPr>
          <w:rStyle w:val="Fuentedeprrafopredeter"/>
          <w:rFonts w:eastAsia="Arial Unicode MS"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0"/>
          <w:szCs w:val="24"/>
          <w:u w:val="none"/>
          <w:em w:val="none"/>
          <w:lang w:val="es-ES" w:eastAsia="es-ES" w:bidi="es-ES"/>
        </w:rPr>
        <w:t>Artículo 19 de la Ley Nº 19.574, de 20 de diciembre de 2017 y artículo 13, literal E del Decreto Nº 379/018, de 12 de noviembre de 2018</w:t>
      </w:r>
    </w:p>
  </w:footnote>
  <w:footnote w:id="6">
    <w:p>
      <w:pPr>
        <w:pStyle w:val="Normal"/>
        <w:rPr/>
      </w:pPr>
      <w:r>
        <w:rPr>
          <w:rStyle w:val="Caracteresdenotaalpie"/>
        </w:rPr>
        <w:footnoteRef/>
      </w:r>
      <w:r>
        <w:rPr>
          <w:rStyle w:val="Fuentedeprrafopredeter"/>
          <w:rFonts w:eastAsia="Segoe UI"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0"/>
          <w:szCs w:val="24"/>
          <w:u w:val="none"/>
          <w:em w:val="none"/>
          <w:lang w:val="es-ES" w:eastAsia="es-ES" w:bidi="es-ES"/>
        </w:rPr>
        <w:t xml:space="preserve"> </w:t>
      </w:r>
      <w:r>
        <w:rPr>
          <w:rStyle w:val="Fuentedeprrafopredeter"/>
          <w:rFonts w:eastAsia="Arial Unicode MS"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0"/>
          <w:szCs w:val="24"/>
          <w:u w:val="none"/>
          <w:em w:val="none"/>
          <w:lang w:val="es-ES" w:eastAsia="es-ES" w:bidi="es-ES"/>
        </w:rPr>
        <w:t>Artículo 13, literal C del Decreto Nº 379/018, de 12 de noviembre de 2018</w:t>
      </w:r>
    </w:p>
  </w:footnote>
  <w:footnote w:id="7">
    <w:p>
      <w:pPr>
        <w:pStyle w:val="Normal"/>
        <w:rPr/>
      </w:pPr>
      <w:r>
        <w:rPr>
          <w:rStyle w:val="Caracteresdenotaalpie"/>
        </w:rPr>
        <w:footnoteRef/>
      </w:r>
      <w:r>
        <w:rPr>
          <w:rStyle w:val="Fuentedeprrafopredeter"/>
          <w:sz w:val="20"/>
        </w:rPr>
        <w:t xml:space="preserve"> </w:t>
      </w:r>
      <w:r>
        <w:rPr>
          <w:rStyle w:val="Fuentedeprrafopredeter"/>
          <w:rFonts w:cs="Segoe UI" w:ascii="Segoe UI" w:hAnsi="Segoe UI"/>
          <w:sz w:val="20"/>
        </w:rPr>
        <w:t>Artículo 19 de la Ley Nº 19.574, de 20 de diciembre de 2017 y artículo 13, literal D del Decreto Nº 379/018, de 12 de noviembre de 2018</w:t>
      </w:r>
    </w:p>
  </w:footnote>
  <w:footnote w:id="8">
    <w:p>
      <w:pPr>
        <w:pStyle w:val="Notaalpie"/>
        <w:ind w:left="0" w:right="0" w:hanging="0"/>
        <w:rPr>
          <w:rFonts w:ascii="Segoe UI" w:hAnsi="Segoe UI"/>
        </w:rPr>
      </w:pPr>
      <w:r>
        <w:rPr>
          <w:rStyle w:val="Caracteresdenotaalpie"/>
        </w:rPr>
        <w:footnoteRef/>
      </w:r>
      <w:r>
        <w:rPr>
          <w:rFonts w:ascii="Segoe UI" w:hAnsi="Segoe UI"/>
        </w:rPr>
        <w:t xml:space="preserve"> </w:t>
      </w:r>
      <w:r>
        <w:rPr>
          <w:rFonts w:ascii="Segoe UI" w:hAnsi="Segoe UI"/>
        </w:rPr>
        <w:t>Artículo 15, literal B de la Ley Nº 19.574, de 20 de diciembre de 2017 y el literal C del artículo 11 y numeral 2 del literal C del artículo 72 del Decreto Nº 379/018, de 12 de noviembre de 2018</w:t>
      </w:r>
    </w:p>
  </w:footnote>
  <w:footnote w:id="9">
    <w:p>
      <w:pPr>
        <w:pStyle w:val="Notaalpie"/>
        <w:ind w:left="0" w:right="0" w:hanging="0"/>
        <w:rPr/>
      </w:pPr>
      <w:r>
        <w:rPr>
          <w:rStyle w:val="Caracteresdenotaalpie"/>
        </w:rPr>
        <w:footnoteRef/>
      </w:r>
      <w:r>
        <w:rPr>
          <w:rStyle w:val="Fuentedeprrafopredeter"/>
          <w:rFonts w:eastAsia="Segoe UI" w:cs="Segoe UI" w:ascii="Segoe UI" w:hAnsi="Segoe UI"/>
          <w:color w:val="000000"/>
          <w:kern w:val="0"/>
          <w:sz w:val="20"/>
          <w:szCs w:val="24"/>
          <w:lang w:val="es-ES" w:eastAsia="es-ES" w:bidi="es-ES"/>
        </w:rPr>
        <w:t xml:space="preserve"> </w:t>
      </w:r>
      <w:r>
        <w:rPr>
          <w:rStyle w:val="Fuentedeprrafopredeter"/>
          <w:rFonts w:eastAsia="Arial Unicode MS" w:cs="Segoe UI" w:ascii="Segoe UI" w:hAnsi="Segoe UI"/>
          <w:color w:val="000000"/>
          <w:kern w:val="0"/>
          <w:sz w:val="20"/>
          <w:szCs w:val="24"/>
          <w:lang w:val="es-ES" w:eastAsia="es-ES" w:bidi="es-ES"/>
        </w:rPr>
        <w:t>Artículo 20 de la Ley Nº 19.574 y los artículos 13, literal F y 14 del Decreto Nº 379/018</w:t>
      </w:r>
    </w:p>
  </w:footnote>
  <w:footnote w:id="10">
    <w:p>
      <w:pPr>
        <w:pStyle w:val="Notaalpie"/>
        <w:rPr>
          <w:rFonts w:ascii="Segoe UI" w:hAnsi="Segoe UI" w:cs="Segoe UI"/>
        </w:rPr>
      </w:pPr>
      <w:r>
        <w:rPr>
          <w:rStyle w:val="Caracteresdenotaalpie"/>
        </w:rPr>
        <w:footnoteRef/>
      </w:r>
      <w:r>
        <w:rPr>
          <w:rFonts w:cs="Segoe UI" w:ascii="Segoe UI" w:hAnsi="Segoe UI"/>
        </w:rPr>
        <w:tab/>
        <w:t>Artículo 13 literal F del Decreto Nº 379/018, de 12 de noviembre de 2018</w:t>
      </w:r>
    </w:p>
  </w:footnote>
  <w:footnote w:id="11">
    <w:p>
      <w:pPr>
        <w:pStyle w:val="Normal"/>
        <w:bidi w:val="0"/>
        <w:spacing w:lineRule="auto" w:before="0" w:after="0"/>
        <w:ind w:left="0" w:right="0" w:hanging="0"/>
        <w:jc w:val="left"/>
        <w:rPr/>
      </w:pPr>
      <w:r>
        <w:rPr>
          <w:rStyle w:val="Caracteresdenotaalpie"/>
        </w:rPr>
        <w:footnoteRef/>
      </w:r>
      <w:r>
        <w:rPr>
          <w:rFonts w:eastAsia="Segoe UI"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0"/>
          <w:u w:val="none"/>
          <w:em w:val="none"/>
        </w:rPr>
        <w:t xml:space="preserve"> </w:t>
      </w:r>
      <w:r>
        <w:rPr>
          <w:rFonts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0"/>
          <w:u w:val="none"/>
          <w:em w:val="none"/>
        </w:rPr>
        <w:t>Artículo 71 del Decreto Nº 379/018, de 12 de diciembre de 2018</w:t>
      </w:r>
    </w:p>
    <w:p>
      <w:pPr>
        <w:pStyle w:val="Normal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8" w:space="2" w:color="000000"/>
      </w:pBdr>
      <w:jc w:val="center"/>
      <w:rPr>
        <w:rFonts w:ascii="Arial" w:hAnsi="Arial" w:cs="Arial"/>
        <w:sz w:val="28"/>
        <w:szCs w:val="28"/>
      </w:rPr>
    </w:pPr>
    <w:r>
      <w:rPr>
        <w:rFonts w:cs="Arial" w:ascii="Arial" w:hAnsi="Arial"/>
        <w:sz w:val="28"/>
        <w:szCs w:val="28"/>
      </w:rPr>
      <w:t>SECTOR ZONAS FRANCAS</w:t>
    </w:r>
  </w:p>
  <w:p>
    <w:pPr>
      <w:pStyle w:val="Cabecera"/>
      <w:jc w:val="center"/>
      <w:rPr>
        <w:rFonts w:ascii="Arial" w:hAnsi="Arial" w:cs="Arial"/>
        <w:sz w:val="28"/>
        <w:szCs w:val="28"/>
      </w:rPr>
    </w:pPr>
    <w:r>
      <w:rPr>
        <w:rFonts w:cs="Arial" w:ascii="Arial" w:hAnsi="Arial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es-UY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es-ES" w:eastAsia="es-ES" w:bidi="es-ES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ind w:left="0" w:right="0" w:hanging="0"/>
      <w:outlineLvl w:val="0"/>
    </w:pPr>
    <w:rPr>
      <w:rFonts w:ascii="Cambria" w:hAnsi="Cambria" w:eastAsia="Calibri" w:cs="DejaVu Sans"/>
      <w:b/>
      <w:bCs/>
      <w:color w:val="365F91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Tahoma" w:hAnsi="Tahoma" w:cs="Tahoma"/>
      <w:sz w:val="16"/>
      <w:szCs w:val="16"/>
    </w:rPr>
  </w:style>
  <w:style w:type="character" w:styleId="Ttulo1Car">
    <w:name w:val="Título 1 Car"/>
    <w:basedOn w:val="DefaultParagraphFont"/>
    <w:qFormat/>
    <w:rPr>
      <w:rFonts w:ascii="Cambria" w:hAnsi="Cambria" w:eastAsia="Calibri" w:cs="DejaVu Sans"/>
      <w:b/>
      <w:bCs/>
      <w:color w:val="365F91"/>
      <w:sz w:val="28"/>
      <w:szCs w:val="28"/>
      <w:lang w:val="es-ES" w:eastAsia="es-ES" w:bidi="es-ES"/>
    </w:rPr>
  </w:style>
  <w:style w:type="character" w:styleId="EnlacedeInternet">
    <w:name w:val="Enlace de Internet"/>
    <w:basedOn w:val="DefaultParagraphFont"/>
    <w:rPr>
      <w:color w:val="0066CC"/>
      <w:u w:val="single"/>
    </w:rPr>
  </w:style>
  <w:style w:type="character" w:styleId="Smbolosdenumeracin">
    <w:name w:val="Símbolos de numeración"/>
    <w:qFormat/>
    <w:rPr/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Caracteresdenotafinal">
    <w:name w:val="Caracteres de nota final"/>
    <w:qFormat/>
    <w:rPr>
      <w:vertAlign w:val="superscript"/>
    </w:rPr>
  </w:style>
  <w:style w:type="character" w:styleId="WWCaracteresdenotafinal">
    <w:name w:val="WW-Caracteres de nota final"/>
    <w:qFormat/>
    <w:rPr/>
  </w:style>
  <w:style w:type="character" w:styleId="Fuentedeprrafopredeter">
    <w:name w:val="Fuente de párrafo predeter."/>
    <w:qFormat/>
    <w:rPr/>
  </w:style>
  <w:style w:type="character" w:styleId="Ancladenotafinal">
    <w:name w:val="Ancla de nota final"/>
    <w:rPr>
      <w:vertAlign w:val="superscript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120" w:after="0"/>
      <w:jc w:val="both"/>
      <w:textAlignment w:val="baseline"/>
    </w:pPr>
    <w:rPr>
      <w:rFonts w:ascii="Arial" w:hAnsi="Arial" w:eastAsia="Times New Roman" w:cs="Times New Roman"/>
      <w:color w:val="auto"/>
      <w:kern w:val="2"/>
      <w:sz w:val="24"/>
      <w:szCs w:val="20"/>
      <w:lang w:val="es-ES" w:eastAsia="es-UY" w:bidi="ar-SA"/>
    </w:rPr>
  </w:style>
  <w:style w:type="paragraph" w:styleId="ContentsHeading">
    <w:name w:val="Contents Heading"/>
    <w:basedOn w:val="Normal"/>
    <w:qFormat/>
    <w:pPr>
      <w:keepNext w:val="true"/>
      <w:widowControl/>
      <w:suppressLineNumbers/>
      <w:suppressAutoHyphens w:val="true"/>
      <w:spacing w:before="240" w:after="120"/>
      <w:jc w:val="both"/>
      <w:textAlignment w:val="baseline"/>
    </w:pPr>
    <w:rPr>
      <w:rFonts w:ascii="Arial" w:hAnsi="Arial" w:eastAsia="MS Mincho" w:cs="Tahoma"/>
      <w:b/>
      <w:bCs/>
      <w:color w:val="auto"/>
      <w:kern w:val="2"/>
      <w:sz w:val="32"/>
      <w:szCs w:val="32"/>
      <w:lang w:eastAsia="es-UY" w:bidi="ar-SA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right="0" w:hanging="0"/>
      <w:contextualSpacing/>
      <w:jc w:val="both"/>
    </w:pPr>
    <w:rPr>
      <w:rFonts w:ascii="Arial" w:hAnsi="Arial" w:eastAsia="Calibri" w:cs="DejaVu Sans"/>
      <w:color w:val="auto"/>
      <w:sz w:val="20"/>
      <w:szCs w:val="22"/>
      <w:lang w:eastAsia="en-US" w:bidi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tulo11">
    <w:name w:val="Título 11"/>
    <w:basedOn w:val="Normal"/>
    <w:next w:val="Normal"/>
    <w:qFormat/>
    <w:pPr>
      <w:keepNext w:val="true"/>
      <w:keepLines/>
      <w:numPr>
        <w:ilvl w:val="0"/>
        <w:numId w:val="0"/>
      </w:numPr>
      <w:suppressAutoHyphens w:val="true"/>
      <w:spacing w:before="480" w:after="0"/>
      <w:ind w:left="0" w:right="0" w:hanging="0"/>
    </w:pPr>
    <w:rPr>
      <w:rFonts w:ascii="Cambria" w:hAnsi="Cambria" w:eastAsia="Calibri" w:cs="DejaVu Sans"/>
      <w:b/>
      <w:bCs/>
      <w:color w:val="365F91"/>
      <w:sz w:val="28"/>
      <w:szCs w:val="28"/>
    </w:rPr>
  </w:style>
  <w:style w:type="paragraph" w:styleId="LONormal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NSimSun" w:cs="Arial"/>
      <w:color w:val="auto"/>
      <w:sz w:val="24"/>
      <w:szCs w:val="24"/>
      <w:lang w:val="es-UY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n.org/securitycouncil/es/content/un-sc-consolidated-list" TargetMode="External"/><Relationship Id="rId3" Type="http://schemas.openxmlformats.org/officeDocument/2006/relationships/hyperlink" Target="https://www.dgi.gub.uy/wdgi/page?2,principal,_Ampliacion,O,es,0,PAG;CONC;381;1;D;paises-jurisdicciones-y-regimenes-especiales-de-baja-o-nula-tributacion-bont;1;PAG" TargetMode="External"/><Relationship Id="rId4" Type="http://schemas.openxmlformats.org/officeDocument/2006/relationships/hyperlink" Target="https://www.dgi.gub.uy/wdgi/page?2,principal,_Ampliacion,O,es,0,PAG;CONC;381;1;D;paises-jurisdicciones-y-regimenes-especiales-de-baja-o-nula-tributacion-bont;1;PA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1159</TotalTime>
  <Application>LibreOffice/6.4.5.2$Windows_X86_64 LibreOffice_project/a726b36747cf2001e06b58ad5db1aa3a9a1872d6</Application>
  <Pages>12</Pages>
  <Words>1959</Words>
  <Characters>10158</Characters>
  <CharactersWithSpaces>12005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2020-08-26T09:18:43Z</dcterms:created>
  <dc:creator/>
  <dc:description/>
  <dc:language>es-ES</dc:language>
  <cp:lastModifiedBy/>
  <cp:lastPrinted>1995-11-21T17:41:00Z</cp:lastPrinted>
  <dcterms:modified xsi:type="dcterms:W3CDTF">2021-03-25T09:43:13Z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