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16" w:rsidRDefault="00145ABB">
      <w:pPr>
        <w:jc w:val="center"/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 xml:space="preserve">INSTRUCCIONES GENERALES - SECTOR OSFL 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La presente Instrucción General tiene por finalidad guiar y facilitar el cumplimiento de las obligaciones por parte de los sujetos obligados del sector OSFL y se enmarca dentro de las competencias y facultades previstas para esta Secretaria, de acuerdo a la normativa vigente, Ley N° 19.574, de 20 de diciembre de 2017 y Decreto N° 379/018, de 12 de noviembre de 2018.</w:t>
      </w:r>
    </w:p>
    <w:p w:rsidR="00837D16" w:rsidRDefault="00145ABB">
      <w:pPr>
        <w:jc w:val="center"/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Sujetos obligados:</w:t>
      </w:r>
    </w:p>
    <w:p w:rsidR="00837D16" w:rsidRDefault="00145ABB">
      <w:pPr>
        <w:pStyle w:val="Textopreformateado"/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Dispone el literal I) del art 13 de la Ley 19.574, que las asociaciones civiles, fundaciones, partidos políticos, agrupaciones y en general, cualquier organización sin fines de lucro con o sin personería jurídica son sujetos obligados no financieros.</w:t>
      </w:r>
    </w:p>
    <w:p w:rsidR="00837D16" w:rsidRDefault="00837D16">
      <w:pPr>
        <w:pStyle w:val="Textopreformateado"/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</w:pP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El artículo 84 del Decreto 379/018 reglamenta la obligación legal, considerando que son sujetos obligados las asociaciones civiles, fundaciones, partidos políticos, agrupaciones y en general, cualquier organización sin fines de lucro con o sin personería jurídica, que tengan ingresos de cualquier naturaleza al cierre del ejercicio anual por un importe superior a UI 4.000.000 (cuatro millones unidades indexadas) o activos por un valor superior a UI 2.500.000 (dos millones quinientos mil unidades indexadas), valuados de acuerdo a las normas del Impuesto a las Rentas de las Actividades Económicas, deberán cumplir e implementar las disposiciones del presente decreto, y las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instrucciones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que emitan la Secretaría Nacional para la Lucha contra el Lavado de Activos y el Financiamiento del Terrorismo y el Banco Central del Uruguay, cuando corresponda.</w:t>
      </w:r>
    </w:p>
    <w:p w:rsidR="00837D16" w:rsidRDefault="00837D16">
      <w:pPr>
        <w:jc w:val="both"/>
        <w:rPr>
          <w:rFonts w:ascii="Arial Unicode MS" w:eastAsia="Arial Unicode MS" w:hAnsi="Arial Unicode MS" w:cs="Arial Unicode MS"/>
          <w:i/>
          <w:color w:val="000000"/>
          <w:sz w:val="24"/>
          <w:szCs w:val="24"/>
        </w:rPr>
      </w:pPr>
    </w:p>
    <w:p w:rsidR="00837D16" w:rsidRDefault="00145ABB">
      <w:pPr>
        <w:jc w:val="center"/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Debida Diligencia de Cliente: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Se anexan al presente documento seis formularios o guías, dos de ellos para Debida Diligencia Simplificada según sea Persona Física o Jurídica, dos para Debida Diligencia Normal según sea Persona Física o Jurídica y otros dos formularios para Debida Diligencia Intensificada según sea Persona Física o Jurídica, los cuales operarán en función del riesgo que se le asigne al cliente y/u operación, señalándose que su uso corresponde de la siguiente manera: 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- Ante una situación de riesgo bajo, se debe utilizar el formulario de debida diligencia simplificada que corresponda, según sea persona física o jurídica.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Ante una situación de riesgo normal, se debe utilizar el formulario de debida diligencia normal que corresponda, según sea persona física o jurídica.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Ante una situación de riesgo alto, se debe utilizar el formulario de debida diligencia intensificada que corresponda, según sea persona física o jurídica.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Puede suceder,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que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al completar el formulario de debida diligencia simple o normal, el sujeto obligado entienda que existe algún nuevo elemento que implique que el riesgo ya no sea el mismo; de ser así, se deberá completar el formulario correspondiente a la nueva situación de riesgo o solicitar en adición al formulario ya completado, los datos faltantes que fueren requeridos por el formulario que correspondería aplicar ante esta nueva situación. 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Se aclara que, la Senaclaft elaboró estos formularios o guías como una ayuda para el sujeto obligado y los </w:t>
      </w:r>
      <w:r w:rsidR="00E06E2A">
        <w:rPr>
          <w:rFonts w:ascii="Arial Unicode MS" w:eastAsia="Arial Unicode MS" w:hAnsi="Arial Unicode MS" w:cs="Arial Unicode MS"/>
          <w:color w:val="000000"/>
          <w:sz w:val="24"/>
          <w:szCs w:val="24"/>
        </w:rPr>
        <w:t>avala,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pero no son obligatorios, ya que lo importante es que la debida diligencia de cliente contenga los datos requeridos por la normativa vigente ante cada situación de riesgo. 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¿Cómo determinar si se está ante una situación de riesgo bajo, alto o normal?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Se debe determinar mediante un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Análisis de Riesgo del Cliente que debe realizar previamente el sujeto obligado y que debe ser documentado por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  <w:t>escrito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, atendiendo a la posibilidad de ser utilizado directa o indirectamente a través de sus actividades y operaciones como instrumento para cometer el delito de lavado de activos, el financiamiento del terrorismo y la proliferación de armas de destrucción masiva.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Las debidas diligencias deberán aplicarse de acuerdo a lo establecido en el Art 16 de la ley N° 19574 que establece que los sujetos obligados implementarán las debidas diligencias previstas en los arts.14 y 15 de la ley determinando el grado de aplicación de dichas medidas en función del riesgo y dependiendo del tipo de cliente, relación de negocios, producto u operación.</w:t>
      </w:r>
    </w:p>
    <w:p w:rsidR="00837D16" w:rsidRDefault="00E06E2A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Además,</w:t>
      </w:r>
      <w:r w:rsidR="00145AB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los sujetos obligados deberán demostrar a las autoridades que las medidas adoptas son acordes a los riesgos que evaluaron y dejaron plasmado por escrito.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 En este sentido la normativa cuenta con tres clasificaciones de riesgo que se enumeran a continuación.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Riesgo Bajo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De acuerdo al conocimiento, experiencia o práctica de la actividad que se desarrolla, el sujeto obligado entiende que el cliente, producto u operación comporta un riesgo reducido de lavado de activos, financiamiento del terrorismo y proliferación de armas de destrucción masiva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art 17 Ley 19574 y 12 Decreto 379/018.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Riesgo Alto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: A </w:t>
      </w:r>
      <w:r w:rsidR="00E06E2A">
        <w:rPr>
          <w:rFonts w:ascii="Arial Unicode MS" w:eastAsia="Arial Unicode MS" w:hAnsi="Arial Unicode MS" w:cs="Arial Unicode MS"/>
          <w:color w:val="000000"/>
          <w:sz w:val="24"/>
          <w:szCs w:val="24"/>
        </w:rPr>
        <w:t>continuación,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se exponen algunas situaciones referidas a clientes, relaciones comerciales u operaciones que se consideran de riesgo alto, dado que la normativa lo indica en forma expresa y taxativa (artículo 13 del Decreto 379/018 y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 19 Ley 19574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), pero no excluyente.  Es decir que podrían existir conforme al leal saber y entender del sujeto obligado otros elementos o situaciones concretas que le adviertan que el riesgo es igualmente alto. 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Relaciones comerciales y operaciones con clientes no residentes que provengan de países que no son miembros del Grupo de Acción Financiera Internacional (GAFI), o de alguno de los grupos regionales de similar naturaleza, como ser: Grupo de Acción Financiera de Latinoamérica (Gafilat), Grupo de Acción Financiera del Caribe (Gafic), Grupo de prevención del blanqueo de capitales de África del Sur y del Este (Menafatf) y Grupo Asia/Pacífico en materia de Blanqueo de Capitales (APG); o de países que estén siendo objeto de medidas especiales por parte de estos grupos por no aplicar las recomendaciones del GAFI o no aplicarlas suficientemente.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Relaciones comerciales y operaciones con clientes no residentes que provengan de países sujetos a sanciones o contramedidas financieras emitidas por organismos como el Consejo de Seguridad de Naciones Unidas.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Relaciones comerciales y operaciones con personas físicas o jurídicas residentes, domiciliadas, constituidas o ubicadas en países, jurisdicciones o regímenes especiales de baja o nula tributación, de acuerdo con la lista que emite la Dirección General Impositiva.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Operaciones que no impliquen la presencia física de las partes o de quienes los representen.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Utilización de tecnologías nuevas o en desarrollo que favorezcan el anonimato en las transacciones (ejemplo uso de activos virtuales).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- Personas Políticamente Expuestas, su cónyuge, concubino y sus parientes por consanguinidad o afinidad hasta el segundo grado, así como los asociados cercanos a ellas cuando estos sean de público conocimiento y quienes realicen operaciones en su nombre.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Negocios en que se utilizan cuantías elevadas de efectivo.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Personas jurídicas con acciones al portador, en caso que existan dificultades para identificar el beneficiario final a través de información incluida en un Registro Oficial.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Los fideicomisos cuya estructura aparente ser inusual o excesivamente compleja, para determinar su estructura de control y sus beneficiarios finales.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- Relaciones comerciales que se realizan en circunstancias inusuales conforme a los usos y costumbres de la respectiva actividad.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- Otras situaciones </w:t>
      </w:r>
      <w:r w:rsidR="00E06E2A">
        <w:rPr>
          <w:rFonts w:ascii="Arial Unicode MS" w:eastAsia="Arial Unicode MS" w:hAnsi="Arial Unicode MS" w:cs="Arial Unicode MS"/>
          <w:color w:val="000000"/>
          <w:sz w:val="24"/>
          <w:szCs w:val="24"/>
        </w:rPr>
        <w:t>que,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conforme al análisis de riesgos elaborado por el sujeto obligado, resulten ser de mayor riesgo y por tanto requieran la aplicación de medidas de debida diligencia intensificada.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Riesgo normal: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De acuerdo a su conocimiento o experiencia, el sujeto obligado entiende que el cliente, producto u operación es adecuado a la práctica ordinaria de la actividad que desarrolla, sea por sus propias características o por el hecho de no existir elementos que indiquen que se está ante una situación de riesgo bajo o alto de lavado de activos, financiamiento del terrorismo y proliferación de armas de destrucción </w:t>
      </w:r>
      <w:r w:rsidR="00E06E2A">
        <w:rPr>
          <w:rFonts w:ascii="Arial Unicode MS" w:eastAsia="Arial Unicode MS" w:hAnsi="Arial Unicode MS" w:cs="Arial Unicode MS"/>
          <w:color w:val="000000"/>
          <w:sz w:val="24"/>
          <w:szCs w:val="24"/>
        </w:rPr>
        <w:t>masiva. (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>Art 11 Decreto 379/018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)</w:t>
      </w:r>
    </w:p>
    <w:p w:rsidR="00837D16" w:rsidRDefault="00145ABB">
      <w:pPr>
        <w:jc w:val="center"/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>SITUACIONES ESPECIALES: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Fideicomisos, Fundaciones y Asociaciones civiles: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Conforme a lo establecido en el numeral 2 del literal B) del artículo 44 del Decreto 379/018, cuando se trate de clientes Fideicomisos, Fundaciones y Asociaciones Civiles, se deberá requerir los mismos requisitos que para las Personas Jurídicas, previstos en el numeral 1 de los formularios de debida diligencia normal e intensificada según corresponda, aplicándose asimismo el límite mínimo del 15% (quince por ciento). </w:t>
      </w:r>
    </w:p>
    <w:p w:rsidR="00837D16" w:rsidRDefault="00145ABB">
      <w:pPr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En los casos en que no corresponda hacer debida diligencia intensificada, a los efectos de cumplir con la debida diligencia se admitirá una carta del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administrador del Fideicomiso o patrimonio de afectación independiente, declarando que realizó satisfactoriamente los procedimientos de debida diligencia. En dicha carta deberá constar el origen de los fondos aportados, así como el beneficiario final identificado. </w:t>
      </w:r>
    </w:p>
    <w:p w:rsidR="00837D16" w:rsidRDefault="00145ABB">
      <w:pPr>
        <w:jc w:val="center"/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Momento en que debe realizarse la Debida Diligencia de Cliente:</w:t>
      </w:r>
    </w:p>
    <w:p w:rsidR="00837D16" w:rsidRDefault="00145ABB">
      <w:pPr>
        <w:pStyle w:val="Prrafodelista"/>
        <w:tabs>
          <w:tab w:val="left" w:pos="0"/>
        </w:tabs>
        <w:spacing w:before="240"/>
        <w:ind w:left="0"/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La debida diligencia de cliente se debe realizar antes o durante el establecimiento de la relación comercial o al realizar transacciones para clientes ocasionales.</w:t>
      </w:r>
    </w:p>
    <w:p w:rsidR="00837D16" w:rsidRDefault="00145ABB">
      <w:pPr>
        <w:pStyle w:val="Prrafodelista"/>
        <w:tabs>
          <w:tab w:val="left" w:pos="0"/>
        </w:tabs>
        <w:spacing w:before="240"/>
        <w:ind w:left="0"/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Cabe mencionar que en el caso de las OSFL podemos hablar de clientes de acuerdo a la definición dada en el art 1 del Decreto 379/018 pero debemos tener en cuenta que este tipo de organizaciones muchas veces cuentan con </w:t>
      </w: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</w:rPr>
        <w:t xml:space="preserve">aportantes de fondos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por ejemplo en el caso de las Iglesias, fundaciones, partidos políticos u agremiaciones quienes también deben ser sometidos a debidas diligencias para dar correcto cumplimiento a la normativa vigente (art 13 ley 19574).</w:t>
      </w:r>
    </w:p>
    <w:p w:rsidR="00837D16" w:rsidRDefault="00837D16">
      <w:pPr>
        <w:pStyle w:val="Prrafodelista"/>
        <w:tabs>
          <w:tab w:val="left" w:pos="0"/>
        </w:tabs>
        <w:spacing w:before="240"/>
        <w:ind w:left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837D16" w:rsidRDefault="00145ABB">
      <w:pPr>
        <w:pStyle w:val="Prrafodelista"/>
        <w:tabs>
          <w:tab w:val="left" w:pos="0"/>
        </w:tabs>
        <w:spacing w:before="240"/>
        <w:ind w:left="0"/>
        <w:jc w:val="center"/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Obligación de Reporte de Operación Sospechosa:</w:t>
      </w:r>
    </w:p>
    <w:p w:rsidR="00837D16" w:rsidRDefault="00837D16">
      <w:pPr>
        <w:pStyle w:val="Prrafodelista"/>
        <w:tabs>
          <w:tab w:val="left" w:pos="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</w:pPr>
    </w:p>
    <w:p w:rsidR="00837D16" w:rsidRDefault="00145ABB">
      <w:pPr>
        <w:pStyle w:val="Prrafodelista"/>
        <w:tabs>
          <w:tab w:val="left" w:pos="0"/>
        </w:tabs>
        <w:ind w:left="0"/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Se deberá informar a la Unidad de Información y Análisis Financiero del Banco Central del Uruguay, las transacciones realizadas o no, que en los usos y costumbres de la respectiva actividad resulten inusuales, se presenten sin justificación económica o legal evidente o se planteen con una complejidad inusitada o injustificada, así como las transacciones que involucren activos sobre cuya procedencia existan sospechas de ilicitud, a efectos de prevenir los delitos de lavado de activos tipificados en los artículos 30 a 33 de la Ley N° 19.574 y de prevenir el delito de financiamiento del terrorismo. En este último caso, la obligación de reporte alcanza incluso a aquellas operaciones que involucren activos lícitos, pero se sospeche que están vinculadas a las personas físicas o jurídicas comprendidas en dicho delito o destinados a financiar cualquier actividad terrorista. (Art. 12 y 13 de la Ley 19.574 y 89 del Decreto 379/018).</w:t>
      </w:r>
    </w:p>
    <w:p w:rsidR="00837D16" w:rsidRDefault="00837D16">
      <w:pPr>
        <w:pStyle w:val="Prrafodelista"/>
        <w:tabs>
          <w:tab w:val="left" w:pos="0"/>
        </w:tabs>
        <w:ind w:left="0"/>
        <w:jc w:val="both"/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</w:pPr>
    </w:p>
    <w:p w:rsidR="00837D16" w:rsidRDefault="00837D16">
      <w:pPr>
        <w:pStyle w:val="Prrafodelista"/>
        <w:tabs>
          <w:tab w:val="left" w:pos="0"/>
        </w:tabs>
        <w:ind w:left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</w:pPr>
    </w:p>
    <w:p w:rsidR="00837D16" w:rsidRDefault="00145ABB">
      <w:pPr>
        <w:pStyle w:val="Prrafodelista"/>
        <w:tabs>
          <w:tab w:val="left" w:pos="0"/>
        </w:tabs>
        <w:ind w:left="0"/>
        <w:jc w:val="center"/>
      </w:pPr>
      <w:r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  <w:t>Conservación de la documentación:</w:t>
      </w:r>
    </w:p>
    <w:p w:rsidR="00837D16" w:rsidRDefault="00837D16">
      <w:pPr>
        <w:pStyle w:val="Prrafodelista"/>
        <w:tabs>
          <w:tab w:val="left" w:pos="0"/>
        </w:tabs>
        <w:ind w:left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u w:val="single"/>
        </w:rPr>
      </w:pPr>
    </w:p>
    <w:p w:rsidR="00837D16" w:rsidRDefault="00145ABB">
      <w:pPr>
        <w:pStyle w:val="Prrafodelista"/>
        <w:tabs>
          <w:tab w:val="left" w:pos="0"/>
        </w:tabs>
        <w:ind w:left="0"/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Se deberá conservar los registros y la documentación respaldante de todas las operaciones realizadas con sus clientes o para sus clientes, tanto nacionales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 xml:space="preserve">como internacionales, las evaluaciones de riesgos de lavado de activos, financiamiento del terrorismo y proliferación de armas de destrucción masiva que se hubieren realizado, así como los procedimientos de debida diligencia efectuados según se señaló anteriormente, y toda la información y documentación obtenida,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</w:rPr>
        <w:t>por un plazo mínimo de cinco años después de terminada la relación comercial o de concretada la operación ocasional.</w:t>
      </w:r>
    </w:p>
    <w:p w:rsidR="00837D16" w:rsidRDefault="00837D16">
      <w:pPr>
        <w:pStyle w:val="Prrafodelista"/>
        <w:tabs>
          <w:tab w:val="left" w:pos="0"/>
        </w:tabs>
        <w:ind w:left="0"/>
        <w:jc w:val="both"/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</w:rPr>
      </w:pPr>
    </w:p>
    <w:p w:rsidR="00837D16" w:rsidRDefault="00145ABB">
      <w:pPr>
        <w:pStyle w:val="Prrafodelista"/>
        <w:tabs>
          <w:tab w:val="left" w:pos="0"/>
        </w:tabs>
        <w:ind w:left="0"/>
        <w:jc w:val="both"/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Para finalizar es importante recordar que las OSFL deben contar con un oficial de cumplimiento quien será el encargado de impulsar la implementación de los procedimientos y las obligaciones que establece la normativa vigente y será el nexo con la Secretaría.</w:t>
      </w:r>
    </w:p>
    <w:p w:rsidR="00837D16" w:rsidRDefault="00837D16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</w:p>
    <w:p w:rsidR="00145ABB" w:rsidRDefault="00145ABB">
      <w:pPr>
        <w:pStyle w:val="Prrafodelista"/>
        <w:tabs>
          <w:tab w:val="left" w:pos="0"/>
        </w:tabs>
        <w:ind w:left="0"/>
        <w:jc w:val="both"/>
      </w:pPr>
    </w:p>
    <w:sectPr w:rsidR="00145ABB">
      <w:headerReference w:type="default" r:id="rId6"/>
      <w:headerReference w:type="first" r:id="rId7"/>
      <w:pgSz w:w="11906" w:h="16838"/>
      <w:pgMar w:top="1417" w:right="1701" w:bottom="1417" w:left="1701" w:header="720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43" w:rsidRDefault="001A2F43">
      <w:pPr>
        <w:spacing w:after="0" w:line="240" w:lineRule="auto"/>
      </w:pPr>
      <w:r>
        <w:separator/>
      </w:r>
    </w:p>
  </w:endnote>
  <w:endnote w:type="continuationSeparator" w:id="0">
    <w:p w:rsidR="001A2F43" w:rsidRDefault="001A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43" w:rsidRDefault="001A2F43">
      <w:pPr>
        <w:spacing w:after="0" w:line="240" w:lineRule="auto"/>
      </w:pPr>
      <w:r>
        <w:separator/>
      </w:r>
    </w:p>
  </w:footnote>
  <w:footnote w:type="continuationSeparator" w:id="0">
    <w:p w:rsidR="001A2F43" w:rsidRDefault="001A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16" w:rsidRDefault="00E06E2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396865" cy="16998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6" r="-2" b="-6"/>
                  <a:stretch>
                    <a:fillRect/>
                  </a:stretch>
                </pic:blipFill>
                <pic:spPr bwMode="auto">
                  <a:xfrm>
                    <a:off x="0" y="0"/>
                    <a:ext cx="5396865" cy="1699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16" w:rsidRDefault="00837D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2A"/>
    <w:rsid w:val="00145ABB"/>
    <w:rsid w:val="001A2F43"/>
    <w:rsid w:val="00777F2A"/>
    <w:rsid w:val="00837D16"/>
    <w:rsid w:val="00E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5F8D4A-BCA2-4FB3-9BFA-EBE17B6B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UY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Puesto">
    <w:name w:val="Puest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beceraypie">
    <w:name w:val="Cabecera y pie"/>
    <w:basedOn w:val="Normal"/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Textopreformateado">
    <w:name w:val="Texto preformateado"/>
    <w:basedOn w:val="Normal"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1755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Presidencia de la Republica Oriental del Uruguay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RKohn</dc:creator>
  <cp:keywords/>
  <cp:lastModifiedBy>aniemann</cp:lastModifiedBy>
  <cp:revision>2</cp:revision>
  <cp:lastPrinted>1995-11-21T19:41:00Z</cp:lastPrinted>
  <dcterms:created xsi:type="dcterms:W3CDTF">2022-09-12T17:12:00Z</dcterms:created>
  <dcterms:modified xsi:type="dcterms:W3CDTF">2022-09-12T17:12:00Z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Presidencia de la Republica Oriental del Uruguay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