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55" w:rsidRDefault="00562CF7" w:rsidP="00C37B55">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 xml:space="preserve">INSTRUCTIVO SECTOR </w:t>
      </w:r>
      <w:r w:rsidR="004B0579">
        <w:rPr>
          <w:rFonts w:ascii="Arial Unicode MS" w:eastAsia="Arial Unicode MS" w:hAnsi="Arial Unicode MS" w:cs="Arial Unicode MS"/>
          <w:b/>
          <w:sz w:val="24"/>
          <w:szCs w:val="24"/>
          <w:u w:val="single"/>
        </w:rPr>
        <w:t>CONTADORES</w:t>
      </w:r>
      <w:r w:rsidR="00C37B55">
        <w:rPr>
          <w:rFonts w:ascii="Arial Unicode MS" w:eastAsia="Arial Unicode MS" w:hAnsi="Arial Unicode MS" w:cs="Arial Unicode MS"/>
          <w:b/>
          <w:sz w:val="24"/>
          <w:szCs w:val="24"/>
          <w:u w:val="single"/>
        </w:rPr>
        <w:t xml:space="preserve"> Y OTRAS PERSONAS FÍSICAS O JURÍDICAS</w:t>
      </w:r>
    </w:p>
    <w:p w:rsidR="00545FE1" w:rsidRDefault="00562CF7" w:rsidP="00C37B5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 Ley N° 19.574, de 20 de diciembre de 201</w:t>
      </w:r>
      <w:r w:rsidR="00C37B55">
        <w:rPr>
          <w:rFonts w:ascii="Arial Unicode MS" w:eastAsia="Arial Unicode MS" w:hAnsi="Arial Unicode MS" w:cs="Arial Unicode MS"/>
          <w:sz w:val="24"/>
          <w:szCs w:val="24"/>
        </w:rPr>
        <w:t xml:space="preserve">7 </w:t>
      </w:r>
      <w:r w:rsidR="00BF3B76">
        <w:rPr>
          <w:rFonts w:ascii="Arial Unicode MS" w:eastAsia="Arial Unicode MS" w:hAnsi="Arial Unicode MS" w:cs="Arial Unicode MS"/>
          <w:sz w:val="24"/>
          <w:szCs w:val="24"/>
        </w:rPr>
        <w:t xml:space="preserve">con las modificaciones introducidas por las </w:t>
      </w:r>
      <w:r w:rsidR="00BF3B76" w:rsidRPr="008927F8">
        <w:rPr>
          <w:rFonts w:ascii="Arial Unicode MS" w:eastAsia="Arial Unicode MS" w:hAnsi="Arial Unicode MS" w:cs="Arial Unicode MS"/>
          <w:sz w:val="24"/>
          <w:szCs w:val="24"/>
        </w:rPr>
        <w:t>Ley</w:t>
      </w:r>
      <w:r w:rsidR="00BF3B76">
        <w:rPr>
          <w:rFonts w:ascii="Arial Unicode MS" w:eastAsia="Arial Unicode MS" w:hAnsi="Arial Unicode MS" w:cs="Arial Unicode MS"/>
          <w:sz w:val="24"/>
          <w:szCs w:val="24"/>
        </w:rPr>
        <w:t xml:space="preserve">es Nº 19.670, de 15 de octubre de </w:t>
      </w:r>
      <w:r w:rsidR="00BF3B76" w:rsidRPr="008927F8">
        <w:rPr>
          <w:rFonts w:ascii="Arial Unicode MS" w:eastAsia="Arial Unicode MS" w:hAnsi="Arial Unicode MS" w:cs="Arial Unicode MS"/>
          <w:sz w:val="24"/>
          <w:szCs w:val="24"/>
        </w:rPr>
        <w:t>2018</w:t>
      </w:r>
      <w:r w:rsidR="00BF3B76">
        <w:rPr>
          <w:rFonts w:ascii="Arial Unicode MS" w:eastAsia="Arial Unicode MS" w:hAnsi="Arial Unicode MS" w:cs="Arial Unicode MS"/>
          <w:sz w:val="24"/>
          <w:szCs w:val="24"/>
        </w:rPr>
        <w:t xml:space="preserve"> y 19.889, de 09 de julio de </w:t>
      </w:r>
      <w:r w:rsidR="00BF3B76" w:rsidRPr="008927F8">
        <w:rPr>
          <w:rFonts w:ascii="Arial Unicode MS" w:eastAsia="Arial Unicode MS" w:hAnsi="Arial Unicode MS" w:cs="Arial Unicode MS"/>
          <w:sz w:val="24"/>
          <w:szCs w:val="24"/>
        </w:rPr>
        <w:t>2020</w:t>
      </w:r>
      <w:r w:rsidR="00BF3B76">
        <w:rPr>
          <w:rFonts w:ascii="Arial Unicode MS" w:eastAsia="Arial Unicode MS" w:hAnsi="Arial Unicode MS" w:cs="Arial Unicode MS"/>
          <w:sz w:val="24"/>
          <w:szCs w:val="24"/>
        </w:rPr>
        <w:t xml:space="preserve"> </w:t>
      </w:r>
      <w:r w:rsidR="00C37B55">
        <w:rPr>
          <w:rFonts w:ascii="Arial Unicode MS" w:eastAsia="Arial Unicode MS" w:hAnsi="Arial Unicode MS" w:cs="Arial Unicode MS"/>
          <w:sz w:val="24"/>
          <w:szCs w:val="24"/>
        </w:rPr>
        <w:t xml:space="preserve">y </w:t>
      </w:r>
      <w:r w:rsidR="00BF3B76">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 xml:space="preserve">Decreto </w:t>
      </w:r>
      <w:r w:rsidR="00BF3B76">
        <w:rPr>
          <w:rFonts w:ascii="Arial Unicode MS" w:eastAsia="Arial Unicode MS" w:hAnsi="Arial Unicode MS" w:cs="Arial Unicode MS"/>
          <w:sz w:val="24"/>
          <w:szCs w:val="24"/>
        </w:rPr>
        <w:t xml:space="preserve">reglamentario </w:t>
      </w:r>
      <w:r>
        <w:rPr>
          <w:rFonts w:ascii="Arial Unicode MS" w:eastAsia="Arial Unicode MS" w:hAnsi="Arial Unicode MS" w:cs="Arial Unicode MS"/>
          <w:sz w:val="24"/>
          <w:szCs w:val="24"/>
        </w:rPr>
        <w:t>N° 379/018, de 12 de noviembre de 2018.</w:t>
      </w:r>
    </w:p>
    <w:p w:rsidR="00545FE1" w:rsidRDefault="00562CF7">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545FE1" w:rsidRDefault="00A412D3">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Dispone e</w:t>
      </w:r>
      <w:r w:rsidR="00C37B55">
        <w:rPr>
          <w:rFonts w:ascii="Arial Unicode MS" w:eastAsia="Arial Unicode MS" w:hAnsi="Arial Unicode MS" w:cs="Arial Unicode MS"/>
          <w:sz w:val="24"/>
          <w:szCs w:val="24"/>
        </w:rPr>
        <w:t xml:space="preserve">l literal </w:t>
      </w:r>
      <w:r w:rsidR="004B0579">
        <w:rPr>
          <w:rFonts w:ascii="Arial Unicode MS" w:eastAsia="Arial Unicode MS" w:hAnsi="Arial Unicode MS" w:cs="Arial Unicode MS"/>
          <w:sz w:val="24"/>
          <w:szCs w:val="24"/>
        </w:rPr>
        <w:t>J</w:t>
      </w:r>
      <w:r w:rsidR="00562CF7">
        <w:rPr>
          <w:rFonts w:ascii="Arial Unicode MS" w:eastAsia="Arial Unicode MS" w:hAnsi="Arial Unicode MS" w:cs="Arial Unicode MS"/>
          <w:sz w:val="24"/>
          <w:szCs w:val="24"/>
        </w:rPr>
        <w:t>)</w:t>
      </w:r>
      <w:r w:rsidR="00CD5B73">
        <w:rPr>
          <w:rFonts w:ascii="Arial Unicode MS" w:eastAsia="Arial Unicode MS" w:hAnsi="Arial Unicode MS" w:cs="Arial Unicode MS"/>
          <w:sz w:val="24"/>
          <w:szCs w:val="24"/>
        </w:rPr>
        <w:t>,</w:t>
      </w:r>
      <w:r w:rsidR="004B0579">
        <w:rPr>
          <w:rFonts w:ascii="Arial Unicode MS" w:eastAsia="Arial Unicode MS" w:hAnsi="Arial Unicode MS" w:cs="Arial Unicode MS"/>
          <w:sz w:val="24"/>
          <w:szCs w:val="24"/>
        </w:rPr>
        <w:t xml:space="preserve"> numerales 1 a 10</w:t>
      </w:r>
      <w:r w:rsidR="00562CF7">
        <w:rPr>
          <w:rFonts w:ascii="Arial Unicode MS" w:eastAsia="Arial Unicode MS" w:hAnsi="Arial Unicode MS" w:cs="Arial Unicode MS"/>
          <w:sz w:val="24"/>
          <w:szCs w:val="24"/>
        </w:rPr>
        <w:t>, de la Ley 19.574</w:t>
      </w:r>
      <w:r>
        <w:rPr>
          <w:rFonts w:ascii="Arial Unicode MS" w:eastAsia="Arial Unicode MS" w:hAnsi="Arial Unicode MS" w:cs="Arial Unicode MS"/>
          <w:sz w:val="24"/>
          <w:szCs w:val="24"/>
        </w:rPr>
        <w:t>,</w:t>
      </w:r>
      <w:r w:rsidR="00562CF7">
        <w:rPr>
          <w:rFonts w:ascii="Arial Unicode MS" w:eastAsia="Arial Unicode MS" w:hAnsi="Arial Unicode MS" w:cs="Arial Unicode MS"/>
          <w:sz w:val="24"/>
          <w:szCs w:val="24"/>
        </w:rPr>
        <w:t xml:space="preserve"> que</w:t>
      </w:r>
      <w:r>
        <w:rPr>
          <w:rFonts w:ascii="Arial Unicode MS" w:eastAsia="Arial Unicode MS" w:hAnsi="Arial Unicode MS" w:cs="Arial Unicode MS"/>
          <w:sz w:val="24"/>
          <w:szCs w:val="24"/>
        </w:rPr>
        <w:t xml:space="preserve"> los </w:t>
      </w:r>
      <w:r w:rsidR="004B0579">
        <w:rPr>
          <w:rFonts w:ascii="Arial Unicode MS" w:eastAsia="Arial Unicode MS" w:hAnsi="Arial Unicode MS" w:cs="Arial Unicode MS"/>
          <w:sz w:val="24"/>
          <w:szCs w:val="24"/>
        </w:rPr>
        <w:t>contadores públicos y</w:t>
      </w:r>
      <w:r w:rsidR="00C37B55">
        <w:rPr>
          <w:rFonts w:ascii="Arial Unicode MS" w:eastAsia="Arial Unicode MS" w:hAnsi="Arial Unicode MS" w:cs="Arial Unicode MS"/>
          <w:sz w:val="24"/>
          <w:szCs w:val="24"/>
        </w:rPr>
        <w:t xml:space="preserve"> otra</w:t>
      </w:r>
      <w:r w:rsidR="004B0579">
        <w:rPr>
          <w:rFonts w:ascii="Arial Unicode MS" w:eastAsia="Arial Unicode MS" w:hAnsi="Arial Unicode MS" w:cs="Arial Unicode MS"/>
          <w:sz w:val="24"/>
          <w:szCs w:val="24"/>
        </w:rPr>
        <w:t>s</w:t>
      </w:r>
      <w:r w:rsidR="00C37B55">
        <w:rPr>
          <w:rFonts w:ascii="Arial Unicode MS" w:eastAsia="Arial Unicode MS" w:hAnsi="Arial Unicode MS" w:cs="Arial Unicode MS"/>
          <w:sz w:val="24"/>
          <w:szCs w:val="24"/>
        </w:rPr>
        <w:t xml:space="preserve"> persona</w:t>
      </w:r>
      <w:r w:rsidR="004B0579">
        <w:rPr>
          <w:rFonts w:ascii="Arial Unicode MS" w:eastAsia="Arial Unicode MS" w:hAnsi="Arial Unicode MS" w:cs="Arial Unicode MS"/>
          <w:sz w:val="24"/>
          <w:szCs w:val="24"/>
        </w:rPr>
        <w:t>s</w:t>
      </w:r>
      <w:r w:rsidR="00C37B55">
        <w:rPr>
          <w:rFonts w:ascii="Arial Unicode MS" w:eastAsia="Arial Unicode MS" w:hAnsi="Arial Unicode MS" w:cs="Arial Unicode MS"/>
          <w:sz w:val="24"/>
          <w:szCs w:val="24"/>
        </w:rPr>
        <w:t xml:space="preserve"> física</w:t>
      </w:r>
      <w:r w:rsidR="004B0579">
        <w:rPr>
          <w:rFonts w:ascii="Arial Unicode MS" w:eastAsia="Arial Unicode MS" w:hAnsi="Arial Unicode MS" w:cs="Arial Unicode MS"/>
          <w:sz w:val="24"/>
          <w:szCs w:val="24"/>
        </w:rPr>
        <w:t>s</w:t>
      </w:r>
      <w:r w:rsidR="00C37B55">
        <w:rPr>
          <w:rFonts w:ascii="Arial Unicode MS" w:eastAsia="Arial Unicode MS" w:hAnsi="Arial Unicode MS" w:cs="Arial Unicode MS"/>
          <w:sz w:val="24"/>
          <w:szCs w:val="24"/>
        </w:rPr>
        <w:t xml:space="preserve"> o jurídica</w:t>
      </w:r>
      <w:r w:rsidR="004B0579">
        <w:rPr>
          <w:rFonts w:ascii="Arial Unicode MS" w:eastAsia="Arial Unicode MS" w:hAnsi="Arial Unicode MS" w:cs="Arial Unicode MS"/>
          <w:sz w:val="24"/>
          <w:szCs w:val="24"/>
        </w:rPr>
        <w:t>s</w:t>
      </w:r>
      <w:r w:rsidR="00AE7377">
        <w:rPr>
          <w:rFonts w:ascii="Arial Unicode MS" w:eastAsia="Arial Unicode MS" w:hAnsi="Arial Unicode MS" w:cs="Arial Unicode MS"/>
          <w:sz w:val="24"/>
          <w:szCs w:val="24"/>
        </w:rPr>
        <w:t>,</w:t>
      </w:r>
      <w:r w:rsidR="00C37B55">
        <w:rPr>
          <w:rFonts w:ascii="Arial Unicode MS" w:eastAsia="Arial Unicode MS" w:hAnsi="Arial Unicode MS" w:cs="Arial Unicode MS"/>
          <w:sz w:val="24"/>
          <w:szCs w:val="24"/>
        </w:rPr>
        <w:t xml:space="preserve"> </w:t>
      </w:r>
      <w:r w:rsidR="004B0579">
        <w:rPr>
          <w:rFonts w:ascii="Arial Unicode MS" w:eastAsia="Arial Unicode MS" w:hAnsi="Arial Unicode MS" w:cs="Arial Unicode MS"/>
          <w:sz w:val="24"/>
          <w:szCs w:val="24"/>
        </w:rPr>
        <w:t>que actúen en ca</w:t>
      </w:r>
      <w:r w:rsidR="00AE7377">
        <w:rPr>
          <w:rFonts w:ascii="Arial Unicode MS" w:eastAsia="Arial Unicode MS" w:hAnsi="Arial Unicode MS" w:cs="Arial Unicode MS"/>
          <w:sz w:val="24"/>
          <w:szCs w:val="24"/>
        </w:rPr>
        <w:t xml:space="preserve">lidad de independientes, </w:t>
      </w:r>
      <w:r w:rsidR="00562CF7">
        <w:rPr>
          <w:rFonts w:ascii="Arial Unicode MS" w:eastAsia="Arial Unicode MS" w:hAnsi="Arial Unicode MS" w:cs="Arial Unicode MS"/>
          <w:sz w:val="24"/>
          <w:szCs w:val="24"/>
        </w:rPr>
        <w:t xml:space="preserve">son sujetos obligados no financieros </w:t>
      </w:r>
      <w:r w:rsidR="00CD5B73">
        <w:rPr>
          <w:rFonts w:ascii="Arial Unicode MS" w:eastAsia="Arial Unicode MS" w:hAnsi="Arial Unicode MS" w:cs="Arial Unicode MS"/>
          <w:sz w:val="24"/>
          <w:szCs w:val="24"/>
        </w:rPr>
        <w:t xml:space="preserve">cuando </w:t>
      </w:r>
      <w:r w:rsidR="00C37B55">
        <w:rPr>
          <w:rFonts w:ascii="Arial Unicode MS" w:eastAsia="Arial Unicode MS" w:hAnsi="Arial Unicode MS" w:cs="Arial Unicode MS"/>
          <w:sz w:val="24"/>
          <w:szCs w:val="24"/>
        </w:rPr>
        <w:t>participen en la realización de las operaciones</w:t>
      </w:r>
      <w:r w:rsidR="00562CF7">
        <w:rPr>
          <w:rFonts w:ascii="Arial Unicode MS" w:eastAsia="Arial Unicode MS" w:hAnsi="Arial Unicode MS" w:cs="Arial Unicode MS"/>
          <w:sz w:val="24"/>
          <w:szCs w:val="24"/>
        </w:rPr>
        <w:t xml:space="preserve"> </w:t>
      </w:r>
      <w:r w:rsidR="00AE7377">
        <w:rPr>
          <w:rFonts w:ascii="Arial Unicode MS" w:eastAsia="Arial Unicode MS" w:hAnsi="Arial Unicode MS" w:cs="Arial Unicode MS"/>
          <w:sz w:val="24"/>
          <w:szCs w:val="24"/>
        </w:rPr>
        <w:t xml:space="preserve">o actividades </w:t>
      </w:r>
      <w:r w:rsidR="00562CF7">
        <w:rPr>
          <w:rFonts w:ascii="Arial Unicode MS" w:eastAsia="Arial Unicode MS" w:hAnsi="Arial Unicode MS" w:cs="Arial Unicode MS"/>
          <w:sz w:val="24"/>
          <w:szCs w:val="24"/>
        </w:rPr>
        <w:t>específicamente enumeradas por la norma</w:t>
      </w:r>
      <w:r w:rsidR="00C37B55">
        <w:rPr>
          <w:rFonts w:ascii="Arial Unicode MS" w:eastAsia="Arial Unicode MS" w:hAnsi="Arial Unicode MS" w:cs="Arial Unicode MS"/>
          <w:sz w:val="24"/>
          <w:szCs w:val="24"/>
        </w:rPr>
        <w:t>,</w:t>
      </w:r>
      <w:r w:rsidR="00C37B55" w:rsidRPr="00C37B55">
        <w:rPr>
          <w:rFonts w:ascii="Arial Unicode MS" w:eastAsia="Arial Unicode MS" w:hAnsi="Arial Unicode MS" w:cs="Arial Unicode MS"/>
          <w:sz w:val="24"/>
          <w:szCs w:val="24"/>
        </w:rPr>
        <w:t xml:space="preserve"> </w:t>
      </w:r>
      <w:r w:rsidR="00C37B55">
        <w:rPr>
          <w:rFonts w:ascii="Arial Unicode MS" w:eastAsia="Arial Unicode MS" w:hAnsi="Arial Unicode MS" w:cs="Arial Unicode MS"/>
          <w:sz w:val="24"/>
          <w:szCs w:val="24"/>
        </w:rPr>
        <w:t>para sus clientes</w:t>
      </w:r>
      <w:r w:rsidR="00562CF7">
        <w:rPr>
          <w:rFonts w:ascii="Arial Unicode MS" w:eastAsia="Arial Unicode MS" w:hAnsi="Arial Unicode MS" w:cs="Arial Unicode MS"/>
          <w:sz w:val="24"/>
          <w:szCs w:val="24"/>
        </w:rPr>
        <w:t xml:space="preserve">. Cabe subrayar, que se encuentra excluida expresamente del control del sistema de prevención, la actividad de asesoramiento que los mencionados profesionales pueden desarrollar para sus clientes.  </w:t>
      </w:r>
    </w:p>
    <w:p w:rsidR="00AE7377" w:rsidRPr="00AE7377" w:rsidRDefault="00A412D3" w:rsidP="00AE7377">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Establece el</w:t>
      </w:r>
      <w:r w:rsidR="00562CF7">
        <w:rPr>
          <w:rFonts w:ascii="Arial Unicode MS" w:eastAsia="Arial Unicode MS" w:hAnsi="Arial Unicode MS" w:cs="Arial Unicode MS"/>
          <w:sz w:val="24"/>
          <w:szCs w:val="24"/>
        </w:rPr>
        <w:t xml:space="preserve"> artículo </w:t>
      </w:r>
      <w:r w:rsidR="00C37B55">
        <w:rPr>
          <w:rFonts w:ascii="Arial Unicode MS" w:eastAsia="Arial Unicode MS" w:hAnsi="Arial Unicode MS" w:cs="Arial Unicode MS"/>
          <w:sz w:val="24"/>
          <w:szCs w:val="24"/>
        </w:rPr>
        <w:t>4</w:t>
      </w:r>
      <w:r w:rsidR="00AE7377">
        <w:rPr>
          <w:rFonts w:ascii="Arial Unicode MS" w:eastAsia="Arial Unicode MS" w:hAnsi="Arial Unicode MS" w:cs="Arial Unicode MS"/>
          <w:sz w:val="24"/>
          <w:szCs w:val="24"/>
        </w:rPr>
        <w:t>1</w:t>
      </w:r>
      <w:r>
        <w:rPr>
          <w:rFonts w:ascii="Arial Unicode MS" w:eastAsia="Arial Unicode MS" w:hAnsi="Arial Unicode MS" w:cs="Arial Unicode MS"/>
          <w:b/>
          <w:sz w:val="24"/>
          <w:szCs w:val="24"/>
        </w:rPr>
        <w:t xml:space="preserve"> </w:t>
      </w:r>
      <w:r>
        <w:rPr>
          <w:rFonts w:ascii="Arial Unicode MS" w:eastAsia="Arial Unicode MS" w:hAnsi="Arial Unicode MS" w:cs="Arial Unicode MS"/>
          <w:sz w:val="24"/>
          <w:szCs w:val="24"/>
        </w:rPr>
        <w:t>del Decreto 379/018 que</w:t>
      </w:r>
      <w:r w:rsidR="005872A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AE7377" w:rsidRPr="00AE7377">
        <w:rPr>
          <w:rFonts w:ascii="Arial Unicode MS" w:eastAsia="Arial Unicode MS" w:hAnsi="Arial Unicode MS" w:cs="Arial Unicode MS"/>
          <w:i/>
          <w:sz w:val="24"/>
          <w:szCs w:val="24"/>
        </w:rPr>
        <w:t xml:space="preserve">“Deberán cumplir e implementar las disposiciones del presente decreto y las instrucciones que emitan cuando corresponda, la Secretaría Nacional para la Lucha contra el Lavado de Activos y el Financiamiento del Terrorismo y el Banco Central del Uruguay, los contadores públicos y otras personas físicas o jurídicas, que actúen en calidad de independientes y que participen en la realización de las siguientes operaciones o </w:t>
      </w:r>
      <w:r w:rsidR="00AE7377" w:rsidRPr="00AE7377">
        <w:rPr>
          <w:rFonts w:ascii="Arial Unicode MS" w:eastAsia="Arial Unicode MS" w:hAnsi="Arial Unicode MS" w:cs="Arial Unicode MS"/>
          <w:i/>
          <w:sz w:val="24"/>
          <w:szCs w:val="24"/>
        </w:rPr>
        <w:lastRenderedPageBreak/>
        <w:t xml:space="preserve">actividades para sus clientes y en ningún caso por cualquier tipo de asesoramiento que les presten: </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A) Actuación por cuenta y orden de sus clientes en promesas, cesiones de promesas o compraventas de bienes inmuebles.</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 xml:space="preserve">B) Administración del dinero, valores u otros activos del </w:t>
      </w:r>
      <w:proofErr w:type="gramStart"/>
      <w:r w:rsidRPr="00AE7377">
        <w:rPr>
          <w:rFonts w:ascii="Arial Unicode MS" w:eastAsia="Arial Unicode MS" w:hAnsi="Arial Unicode MS" w:cs="Arial Unicode MS"/>
          <w:i/>
          <w:sz w:val="24"/>
          <w:szCs w:val="24"/>
        </w:rPr>
        <w:t>cliente,  excluyéndose</w:t>
      </w:r>
      <w:proofErr w:type="gramEnd"/>
      <w:r w:rsidRPr="00AE7377">
        <w:rPr>
          <w:rFonts w:ascii="Arial Unicode MS" w:eastAsia="Arial Unicode MS" w:hAnsi="Arial Unicode MS" w:cs="Arial Unicode MS"/>
          <w:i/>
          <w:sz w:val="24"/>
          <w:szCs w:val="24"/>
        </w:rPr>
        <w:t xml:space="preserve"> los fondos recibidos para el pago de obligaciones tributarias o gastos similares. </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 xml:space="preserve">C) Administración de cuentas bancarias, de ahorro o </w:t>
      </w:r>
      <w:proofErr w:type="gramStart"/>
      <w:r w:rsidRPr="00AE7377">
        <w:rPr>
          <w:rFonts w:ascii="Arial Unicode MS" w:eastAsia="Arial Unicode MS" w:hAnsi="Arial Unicode MS" w:cs="Arial Unicode MS"/>
          <w:i/>
          <w:sz w:val="24"/>
          <w:szCs w:val="24"/>
        </w:rPr>
        <w:t>valores,  excluyéndose</w:t>
      </w:r>
      <w:proofErr w:type="gramEnd"/>
      <w:r w:rsidRPr="00AE7377">
        <w:rPr>
          <w:rFonts w:ascii="Arial Unicode MS" w:eastAsia="Arial Unicode MS" w:hAnsi="Arial Unicode MS" w:cs="Arial Unicode MS"/>
          <w:i/>
          <w:sz w:val="24"/>
          <w:szCs w:val="24"/>
        </w:rPr>
        <w:t xml:space="preserve"> los fondos recibidos para el pago de obligaciones tributarias o gastos similares. </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D) Organización de aportes para la creación, operación o administración de sociedades.</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E) Creación, operación o administración de personas jurídicas, fondos de inversión u otros patrimonios de afectación.</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F) Actuación por cuenta y orden de sus clientes en promesas, cesiones de promesas o compraventa de establecimientos comerciales.</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G) Actuación por cuenta y orden de clientes en cualquier operación financiera o inmobiliaria.</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H) Las actividades descriptas en el artículo 77 del presente decreto.</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 xml:space="preserve">I) Confección de informes de revisión limitada de estados contables, siempre y cuando el ente sujeto a revisión cumpla con al menos una de las siguientes condiciones: a) Que su facturación anual entendida como las ventas netas de devoluciones y/o bonificaciones, excluido el Impuesto al Valor Agregado, supere </w:t>
      </w:r>
      <w:r w:rsidRPr="00AE7377">
        <w:rPr>
          <w:rFonts w:ascii="Arial Unicode MS" w:eastAsia="Arial Unicode MS" w:hAnsi="Arial Unicode MS" w:cs="Arial Unicode MS"/>
          <w:i/>
          <w:sz w:val="24"/>
          <w:szCs w:val="24"/>
        </w:rPr>
        <w:lastRenderedPageBreak/>
        <w:t>las U.I. 75.000.000 en el ejercicio anual. b) Que su endeudamiento total con entidades controladas por el Banco Central del Uruguay, en cualquier momento del ejercicio, sea mayor o igual a U.I. 19.500.000.</w:t>
      </w:r>
      <w:r w:rsidRPr="00AE7377" w:rsidDel="00322BC1">
        <w:rPr>
          <w:rFonts w:ascii="Arial Unicode MS" w:eastAsia="Arial Unicode MS" w:hAnsi="Arial Unicode MS" w:cs="Arial Unicode MS"/>
          <w:i/>
          <w:sz w:val="24"/>
          <w:szCs w:val="24"/>
        </w:rPr>
        <w:t xml:space="preserve"> </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Se entiende por ingresos a las ventas de bienes de cambio y prestación de servicios netos de devoluciones y/o bonificaciones, excluido el Impuesto al Valor Agregado.</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J) Confección de informes de auditoría de estados contables.</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En atención a que la confección de informes de revisión limitada de estados contables y la confección de informes de auditoría de estados contables no tienen por objetivo la identificación de transacciones inusuales o sospechosas relacionadas con la prevención de los delitos de lavado de activos y financiamiento del terrorismo, se establece a título expreso que la responsabilidad de reportar dichas transacciones, de acuerdo con lo dispuesto en los numerales 9) y 10) del literal J) del artículo 13 de la Ley N° 19.574, de 20 de diciembre de 2017, se refiere únicamente a aquellas situaciones de las cuales el profesional involucrado pueda tomar conocimiento en el marco de la realización del correspondiente trabajo profesional sobre los estados contables, no debiendo ejecutar tareas adicionales específicas vinculadas con la prevención del lavado de activos y financiamiento del terrorismo, sin perjuicio del cumplimiento de las medidas de debida diligencia de clientes que correspondan.</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 xml:space="preserve">Los contadores públicos que no participen en la realización de al menos una de las actividades señaladas precedentemente en los literales A) a J), no ostentarán </w:t>
      </w:r>
      <w:r w:rsidRPr="00AE7377">
        <w:rPr>
          <w:rFonts w:ascii="Arial Unicode MS" w:eastAsia="Arial Unicode MS" w:hAnsi="Arial Unicode MS" w:cs="Arial Unicode MS"/>
          <w:i/>
          <w:sz w:val="24"/>
          <w:szCs w:val="24"/>
        </w:rPr>
        <w:lastRenderedPageBreak/>
        <w:t xml:space="preserve">la calidad de sujetos obligados. No obstante, la misma se activa inmediatamente a que realicen alguna de las actividades descriptas. </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La actuación en calidad de independiente comprende tanto al trabajador que actúa por cuenta propia como al empleador o patrón que habiendo asumido un compromiso con su cliente contrate a otro profesional independiente en quien delegue la ejecución de las actividades, excluyendo en todo caso a quienes se encuentran en relación de dependencia y a los contadores independientes que actúen al servicio de otro profesional ejecutando las tareas que le fueron delegadas, sin perjuicio de la responsabilidad que sea imputable a los dependientes o a estos últimos en caso que no cumplan las normas para prevenir y combatir el lavado de activos y el financiamiento del terrorismo, establecidas por los propietarios, socios o principales de la firma o empresa de que se trate, la que no exime al sujeto obligado de la eventual responsabilidad que pudiera corresponder.</w:t>
      </w:r>
    </w:p>
    <w:p w:rsidR="00AE7377" w:rsidRPr="00AE7377" w:rsidRDefault="00AE7377" w:rsidP="00AE7377">
      <w:pPr>
        <w:jc w:val="both"/>
        <w:rPr>
          <w:rFonts w:ascii="Arial Unicode MS" w:eastAsia="Arial Unicode MS" w:hAnsi="Arial Unicode MS" w:cs="Arial Unicode MS"/>
          <w:i/>
          <w:sz w:val="24"/>
          <w:szCs w:val="24"/>
        </w:rPr>
      </w:pPr>
      <w:r w:rsidRPr="00AE7377">
        <w:rPr>
          <w:rFonts w:ascii="Arial Unicode MS" w:eastAsia="Arial Unicode MS" w:hAnsi="Arial Unicode MS" w:cs="Arial Unicode MS"/>
          <w:i/>
          <w:sz w:val="24"/>
          <w:szCs w:val="24"/>
        </w:rPr>
        <w:t>En caso de que el profesional esté organizado como sociedad profesional, cuando se trate del servicio de confección de informes de revisión limitada de estados contables y/o de auditoría de estados contables, el sujeto obligado será el profesional firmante del respectivo informe.”</w:t>
      </w:r>
    </w:p>
    <w:p w:rsidR="00545FE1" w:rsidRDefault="00562CF7" w:rsidP="00E15820">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Debida Diligencia de Cliente: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6D5810">
        <w:rPr>
          <w:rFonts w:ascii="Arial Unicode MS" w:eastAsia="Arial Unicode MS" w:hAnsi="Arial Unicode MS" w:cs="Arial Unicode MS"/>
          <w:sz w:val="24"/>
          <w:szCs w:val="24"/>
        </w:rPr>
        <w:t xml:space="preserve">seis </w:t>
      </w:r>
      <w:r>
        <w:rPr>
          <w:rFonts w:ascii="Arial Unicode MS" w:eastAsia="Arial Unicode MS" w:hAnsi="Arial Unicode MS" w:cs="Arial Unicode MS"/>
          <w:sz w:val="24"/>
          <w:szCs w:val="24"/>
        </w:rPr>
        <w:t xml:space="preserve">formularios o guías, </w:t>
      </w:r>
      <w:r w:rsidR="006D5810">
        <w:rPr>
          <w:rFonts w:ascii="Arial Unicode MS" w:eastAsia="Arial Unicode MS" w:hAnsi="Arial Unicode MS" w:cs="Arial Unicode MS"/>
          <w:sz w:val="24"/>
          <w:szCs w:val="24"/>
        </w:rPr>
        <w:t xml:space="preserve">dos de ellos para </w:t>
      </w:r>
      <w:r>
        <w:rPr>
          <w:rFonts w:ascii="Arial Unicode MS" w:eastAsia="Arial Unicode MS" w:hAnsi="Arial Unicode MS" w:cs="Arial Unicode MS"/>
          <w:sz w:val="24"/>
          <w:szCs w:val="24"/>
        </w:rPr>
        <w:t xml:space="preserve">Debida Diligencia Simplificada </w:t>
      </w:r>
      <w:r w:rsidR="006D5810">
        <w:rPr>
          <w:rFonts w:ascii="Arial Unicode MS" w:eastAsia="Arial Unicode MS" w:hAnsi="Arial Unicode MS" w:cs="Arial Unicode MS"/>
          <w:sz w:val="24"/>
          <w:szCs w:val="24"/>
        </w:rPr>
        <w:t xml:space="preserve">según sea Persona Física o Jurídica, dos para </w:t>
      </w:r>
      <w:r>
        <w:rPr>
          <w:rFonts w:ascii="Arial Unicode MS" w:eastAsia="Arial Unicode MS" w:hAnsi="Arial Unicode MS" w:cs="Arial Unicode MS"/>
          <w:sz w:val="24"/>
          <w:szCs w:val="24"/>
        </w:rPr>
        <w:t>Debida Diligencia Normal</w:t>
      </w:r>
      <w:r w:rsidR="006D5810">
        <w:rPr>
          <w:rFonts w:ascii="Arial Unicode MS" w:eastAsia="Arial Unicode MS" w:hAnsi="Arial Unicode MS" w:cs="Arial Unicode MS"/>
          <w:sz w:val="24"/>
          <w:szCs w:val="24"/>
        </w:rPr>
        <w:t xml:space="preserve"> sea Persona Física o Jurídica</w:t>
      </w:r>
      <w:r>
        <w:rPr>
          <w:rFonts w:ascii="Arial Unicode MS" w:eastAsia="Arial Unicode MS" w:hAnsi="Arial Unicode MS" w:cs="Arial Unicode MS"/>
          <w:sz w:val="24"/>
          <w:szCs w:val="24"/>
        </w:rPr>
        <w:t xml:space="preserve"> y </w:t>
      </w:r>
      <w:r w:rsidR="006D5810">
        <w:rPr>
          <w:rFonts w:ascii="Arial Unicode MS" w:eastAsia="Arial Unicode MS" w:hAnsi="Arial Unicode MS" w:cs="Arial Unicode MS"/>
          <w:sz w:val="24"/>
          <w:szCs w:val="24"/>
        </w:rPr>
        <w:t xml:space="preserve">otros dos formularios para </w:t>
      </w:r>
      <w:r>
        <w:rPr>
          <w:rFonts w:ascii="Arial Unicode MS" w:eastAsia="Arial Unicode MS" w:hAnsi="Arial Unicode MS" w:cs="Arial Unicode MS"/>
          <w:sz w:val="24"/>
          <w:szCs w:val="24"/>
        </w:rPr>
        <w:t>Debida Diligencia Intensificada</w:t>
      </w:r>
      <w:r w:rsidR="006D5810" w:rsidRPr="006D5810">
        <w:rPr>
          <w:rFonts w:ascii="Arial Unicode MS" w:eastAsia="Arial Unicode MS" w:hAnsi="Arial Unicode MS" w:cs="Arial Unicode MS"/>
          <w:sz w:val="24"/>
          <w:szCs w:val="24"/>
        </w:rPr>
        <w:t xml:space="preserve"> </w:t>
      </w:r>
      <w:r w:rsidR="006D5810">
        <w:rPr>
          <w:rFonts w:ascii="Arial Unicode MS" w:eastAsia="Arial Unicode MS" w:hAnsi="Arial Unicode MS" w:cs="Arial Unicode MS"/>
          <w:sz w:val="24"/>
          <w:szCs w:val="24"/>
        </w:rPr>
        <w:t>según sea Persona Física o Jurídica,</w:t>
      </w:r>
      <w:r w:rsidR="00CC3655">
        <w:rPr>
          <w:rFonts w:ascii="Arial Unicode MS" w:eastAsia="Arial Unicode MS" w:hAnsi="Arial Unicode MS" w:cs="Arial Unicode MS"/>
          <w:sz w:val="24"/>
          <w:szCs w:val="24"/>
        </w:rPr>
        <w:t xml:space="preserve"> </w:t>
      </w:r>
      <w:r w:rsidR="00CC3655" w:rsidRPr="00C37B55">
        <w:rPr>
          <w:rFonts w:ascii="Arial Unicode MS" w:eastAsia="Arial Unicode MS" w:hAnsi="Arial Unicode MS" w:cs="Arial Unicode MS"/>
          <w:sz w:val="24"/>
          <w:szCs w:val="24"/>
        </w:rPr>
        <w:t>l</w:t>
      </w:r>
      <w:r w:rsidR="006D5810" w:rsidRPr="00C37B55">
        <w:rPr>
          <w:rFonts w:ascii="Arial Unicode MS" w:eastAsia="Arial Unicode MS" w:hAnsi="Arial Unicode MS" w:cs="Arial Unicode MS"/>
          <w:sz w:val="24"/>
          <w:szCs w:val="24"/>
        </w:rPr>
        <w:t>o</w:t>
      </w:r>
      <w:r w:rsidR="00CC3655" w:rsidRPr="00C37B55">
        <w:rPr>
          <w:rFonts w:ascii="Arial Unicode MS" w:eastAsia="Arial Unicode MS" w:hAnsi="Arial Unicode MS" w:cs="Arial Unicode MS"/>
          <w:sz w:val="24"/>
          <w:szCs w:val="24"/>
        </w:rPr>
        <w:t xml:space="preserve">s cuales </w:t>
      </w:r>
      <w:r w:rsidR="00CC3655" w:rsidRPr="00C37B55">
        <w:rPr>
          <w:rFonts w:ascii="Arial Unicode MS" w:eastAsia="Arial Unicode MS" w:hAnsi="Arial Unicode MS" w:cs="Arial Unicode MS"/>
          <w:sz w:val="24"/>
          <w:szCs w:val="24"/>
        </w:rPr>
        <w:lastRenderedPageBreak/>
        <w:t>operar</w:t>
      </w:r>
      <w:r w:rsidR="006D5810" w:rsidRPr="00C37B55">
        <w:rPr>
          <w:rFonts w:ascii="Arial Unicode MS" w:eastAsia="Arial Unicode MS" w:hAnsi="Arial Unicode MS" w:cs="Arial Unicode MS"/>
          <w:sz w:val="24"/>
          <w:szCs w:val="24"/>
        </w:rPr>
        <w:t>á</w:t>
      </w:r>
      <w:r w:rsidR="00CC3655" w:rsidRPr="00C37B55">
        <w:rPr>
          <w:rFonts w:ascii="Arial Unicode MS" w:eastAsia="Arial Unicode MS" w:hAnsi="Arial Unicode MS" w:cs="Arial Unicode MS"/>
          <w:sz w:val="24"/>
          <w:szCs w:val="24"/>
        </w:rPr>
        <w:t xml:space="preserve">n en función del riesgo que se le asigne al cliente </w:t>
      </w:r>
      <w:r w:rsidR="00E57B1E" w:rsidRPr="00C37B55">
        <w:rPr>
          <w:rFonts w:ascii="Arial Unicode MS" w:eastAsia="Arial Unicode MS" w:hAnsi="Arial Unicode MS" w:cs="Arial Unicode MS"/>
          <w:sz w:val="24"/>
          <w:szCs w:val="24"/>
        </w:rPr>
        <w:t>y/u</w:t>
      </w:r>
      <w:r w:rsidR="00CC3655" w:rsidRPr="00C37B55">
        <w:rPr>
          <w:rFonts w:ascii="Arial Unicode MS" w:eastAsia="Arial Unicode MS" w:hAnsi="Arial Unicode MS" w:cs="Arial Unicode MS"/>
          <w:sz w:val="24"/>
          <w:szCs w:val="24"/>
        </w:rPr>
        <w:t xml:space="preserve"> operación</w:t>
      </w:r>
      <w:r w:rsidR="00CC365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señalándose que su uso corresponde de la siguiente manera: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CD5B73">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w:t>
      </w:r>
      <w:proofErr w:type="gramStart"/>
      <w:r>
        <w:rPr>
          <w:rFonts w:ascii="Arial Unicode MS" w:eastAsia="Arial Unicode MS" w:hAnsi="Arial Unicode MS" w:cs="Arial Unicode MS"/>
          <w:sz w:val="24"/>
          <w:szCs w:val="24"/>
        </w:rPr>
        <w:t>que</w:t>
      </w:r>
      <w:proofErr w:type="gramEnd"/>
      <w:r>
        <w:rPr>
          <w:rFonts w:ascii="Arial Unicode MS" w:eastAsia="Arial Unicode MS" w:hAnsi="Arial Unicode MS" w:cs="Arial Unicode MS"/>
          <w:sz w:val="24"/>
          <w:szCs w:val="24"/>
        </w:rPr>
        <w:t xml:space="preserve"> al completar el formulario de debida diligencia simple o normal, el sujeto obligado entienda que existe algún nuevo elemento que 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importante es que la debida diligencia de cliente contenga los datos requeridos por la normativa vigente ante cada situación de riesgo. </w:t>
      </w:r>
    </w:p>
    <w:p w:rsidR="00BF3B76" w:rsidRDefault="00BF3B76" w:rsidP="00BF3B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4A1220" w:rsidRDefault="004A1220" w:rsidP="00BF3B76">
      <w:pPr>
        <w:jc w:val="both"/>
        <w:rPr>
          <w:rFonts w:ascii="Arial Unicode MS" w:eastAsia="Arial Unicode MS" w:hAnsi="Arial Unicode MS" w:cs="Arial Unicode MS"/>
          <w:sz w:val="24"/>
          <w:szCs w:val="24"/>
        </w:rPr>
      </w:pPr>
    </w:p>
    <w:p w:rsidR="00545FE1" w:rsidRDefault="00562CF7">
      <w:pPr>
        <w:jc w:val="both"/>
        <w:rPr>
          <w:b/>
          <w:bCs/>
        </w:rPr>
      </w:pPr>
      <w:r>
        <w:rPr>
          <w:rFonts w:ascii="Arial Unicode MS" w:eastAsia="Arial Unicode MS" w:hAnsi="Arial Unicode MS" w:cs="Arial Unicode MS"/>
          <w:b/>
          <w:bCs/>
          <w:sz w:val="24"/>
          <w:szCs w:val="24"/>
        </w:rPr>
        <w:lastRenderedPageBreak/>
        <w:t>¿Cómo determinar si se está ante una situación de riesgo bajo, alto o normal?</w:t>
      </w:r>
    </w:p>
    <w:p w:rsidR="00545FE1" w:rsidRDefault="00CD5B7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562CF7">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 xml:space="preserve">mediante </w:t>
      </w:r>
      <w:r w:rsidR="00562CF7">
        <w:rPr>
          <w:rFonts w:ascii="Arial Unicode MS" w:eastAsia="Arial Unicode MS" w:hAnsi="Arial Unicode MS" w:cs="Arial Unicode MS"/>
          <w:sz w:val="24"/>
          <w:szCs w:val="24"/>
        </w:rPr>
        <w:t xml:space="preserve">un </w:t>
      </w:r>
      <w:r w:rsidR="00562CF7">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562CF7">
        <w:rPr>
          <w:rFonts w:ascii="Arial Unicode MS" w:eastAsia="Arial Unicode MS" w:hAnsi="Arial Unicode MS" w:cs="Arial Unicode MS"/>
          <w:b/>
          <w:bCs/>
          <w:sz w:val="24"/>
          <w:szCs w:val="24"/>
        </w:rPr>
        <w:t>el sujeto obligado</w:t>
      </w:r>
      <w:r>
        <w:rPr>
          <w:rFonts w:ascii="Arial Unicode MS" w:eastAsia="Arial Unicode MS" w:hAnsi="Arial Unicode MS" w:cs="Arial Unicode MS"/>
          <w:sz w:val="24"/>
          <w:szCs w:val="24"/>
        </w:rPr>
        <w:t>, atendiendo a</w:t>
      </w:r>
      <w:r w:rsidR="00562CF7">
        <w:rPr>
          <w:rFonts w:ascii="Arial Unicode MS" w:eastAsia="Arial Unicode MS" w:hAnsi="Arial Unicode MS" w:cs="Arial Unicode MS"/>
          <w:sz w:val="24"/>
          <w:szCs w:val="24"/>
        </w:rPr>
        <w:t xml:space="preserve"> la posibilidad</w:t>
      </w:r>
      <w:r>
        <w:rPr>
          <w:rFonts w:ascii="Arial Unicode MS" w:eastAsia="Arial Unicode MS" w:hAnsi="Arial Unicode MS" w:cs="Arial Unicode MS"/>
          <w:sz w:val="24"/>
          <w:szCs w:val="24"/>
        </w:rPr>
        <w:t xml:space="preserve"> </w:t>
      </w:r>
      <w:r w:rsidR="00562CF7">
        <w:rPr>
          <w:rFonts w:ascii="Arial Unicode MS" w:eastAsia="Arial Unicode MS" w:hAnsi="Arial Unicode MS" w:cs="Arial Unicode MS"/>
          <w:sz w:val="24"/>
          <w:szCs w:val="24"/>
        </w:rPr>
        <w:t>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BF3B76">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Alto</w:t>
      </w:r>
      <w:r>
        <w:rPr>
          <w:rFonts w:ascii="Arial Unicode MS" w:eastAsia="Arial Unicode MS" w:hAnsi="Arial Unicode MS" w:cs="Arial Unicode MS"/>
          <w:sz w:val="24"/>
          <w:szCs w:val="24"/>
        </w:rPr>
        <w:t xml:space="preserve">: A </w:t>
      </w:r>
      <w:proofErr w:type="gramStart"/>
      <w:r>
        <w:rPr>
          <w:rFonts w:ascii="Arial Unicode MS" w:eastAsia="Arial Unicode MS" w:hAnsi="Arial Unicode MS" w:cs="Arial Unicode MS"/>
          <w:sz w:val="24"/>
          <w:szCs w:val="24"/>
        </w:rPr>
        <w:t>continuación</w:t>
      </w:r>
      <w:proofErr w:type="gramEnd"/>
      <w:r>
        <w:rPr>
          <w:rFonts w:ascii="Arial Unicode MS" w:eastAsia="Arial Unicode MS" w:hAnsi="Arial Unicode MS" w:cs="Arial Unicode MS"/>
          <w:sz w:val="24"/>
          <w:szCs w:val="24"/>
        </w:rPr>
        <w:t xml:space="preserve"> se exponen algunas situaciones referidas a clientes, relaciones comerciales u operaciones que se consideran de riesgo alto, dado que la normativa lo indica en forma expresa (artículo 13 del Decreto 379/018), pero no excluyente.  Es decir que podrían existir conforme al leal saber del sujeto obligado otros elementos o situaciones concretas que le adviertan que el riesgo es igualmente alto.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xml:space="preserve">), Grupo de prevención del blanqueo de capitales de África del </w:t>
      </w:r>
      <w:r>
        <w:rPr>
          <w:rFonts w:ascii="Arial Unicode MS" w:eastAsia="Arial Unicode MS" w:hAnsi="Arial Unicode MS" w:cs="Arial Unicode MS"/>
          <w:sz w:val="24"/>
          <w:szCs w:val="24"/>
        </w:rPr>
        <w:lastRenderedPageBreak/>
        <w:t>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Operaciones que no impliquen la presencia física de las partes o de quienes los representen.</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Políticamente Expuestas, su cónyuge, concubino y sus parientes por consanguinidad o afinidad hasta el segundo grado, así como los asociados cercanos a ellas cuando estos sean de público conocimiento y quienes realicen operaciones en su nombre.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033C37" w:rsidRPr="00F75595">
        <w:rPr>
          <w:rFonts w:ascii="Arial Unicode MS" w:eastAsia="Arial Unicode MS" w:hAnsi="Arial Unicode MS" w:cs="Arial Unicode MS"/>
          <w:sz w:val="24"/>
          <w:szCs w:val="24"/>
        </w:rPr>
        <w:t>Negocios en que se utilizan cuantías elevadas de efectivo.</w:t>
      </w:r>
      <w:r w:rsidR="00815822" w:rsidRPr="00815822">
        <w:rPr>
          <w:rFonts w:ascii="Arial Unicode MS" w:eastAsia="Arial Unicode MS" w:hAnsi="Arial Unicode MS" w:cs="Arial Unicode MS" w:hint="eastAsia"/>
          <w:sz w:val="24"/>
          <w:szCs w:val="24"/>
        </w:rPr>
        <w:t xml:space="preserve"> </w:t>
      </w:r>
      <w:r w:rsidR="00815822">
        <w:rPr>
          <w:rFonts w:ascii="Arial Unicode MS" w:eastAsia="Arial Unicode MS" w:hAnsi="Arial Unicode MS" w:cs="Arial Unicode MS" w:hint="eastAsia"/>
          <w:sz w:val="24"/>
          <w:szCs w:val="24"/>
        </w:rPr>
        <w:t xml:space="preserve">Asimismo, cuando lleven a cabo para sus clientes las operaciones descriptas en los literales A) y F) </w:t>
      </w:r>
      <w:r w:rsidR="00815822">
        <w:rPr>
          <w:rFonts w:ascii="Arial Unicode MS" w:eastAsia="Arial Unicode MS" w:hAnsi="Arial Unicode MS" w:cs="Arial Unicode MS" w:hint="eastAsia"/>
          <w:sz w:val="24"/>
          <w:szCs w:val="24"/>
        </w:rPr>
        <w:lastRenderedPageBreak/>
        <w:t>del artículo 4</w:t>
      </w:r>
      <w:r w:rsidR="00815822">
        <w:rPr>
          <w:rFonts w:ascii="Arial Unicode MS" w:eastAsia="Arial Unicode MS" w:hAnsi="Arial Unicode MS" w:cs="Arial Unicode MS"/>
          <w:sz w:val="24"/>
          <w:szCs w:val="24"/>
        </w:rPr>
        <w:t>1</w:t>
      </w:r>
      <w:r w:rsidR="00815822">
        <w:rPr>
          <w:rFonts w:ascii="Arial Unicode MS" w:eastAsia="Arial Unicode MS" w:hAnsi="Arial Unicode MS" w:cs="Arial Unicode MS" w:hint="eastAsia"/>
          <w:sz w:val="24"/>
          <w:szCs w:val="24"/>
        </w:rPr>
        <w:t xml:space="preserve"> del Decreto 379/018 y en la operación se utilice efectivo, cualquiera sea su monto, según lo previsto en el artículo 47 del mencionado decreto</w:t>
      </w:r>
      <w:r w:rsidR="00815822">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Otras situaciones </w:t>
      </w:r>
      <w:proofErr w:type="gramStart"/>
      <w:r>
        <w:rPr>
          <w:rFonts w:ascii="Arial Unicode MS" w:eastAsia="Arial Unicode MS" w:hAnsi="Arial Unicode MS" w:cs="Arial Unicode MS"/>
          <w:sz w:val="24"/>
          <w:szCs w:val="24"/>
        </w:rPr>
        <w:t>que</w:t>
      </w:r>
      <w:proofErr w:type="gramEnd"/>
      <w:r>
        <w:rPr>
          <w:rFonts w:ascii="Arial Unicode MS" w:eastAsia="Arial Unicode MS" w:hAnsi="Arial Unicode MS" w:cs="Arial Unicode MS"/>
          <w:sz w:val="24"/>
          <w:szCs w:val="24"/>
        </w:rPr>
        <w:t xml:space="preserve"> conforme al análisis de riesgos elaborado por el sujeto obligado, resulten ser de mayor riesgo y por tanto requieran la aplicación de medidas de debida diligencia intensificada.</w:t>
      </w:r>
    </w:p>
    <w:p w:rsidR="008C6179"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xml:space="preserve"> De acuerdo a su conocimiento o experiencia, el sujeto obligado entiende que el cliente, producto u operación es adecuado a la práctica ordinaria 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8C6179" w:rsidRDefault="008C6179" w:rsidP="008C6179">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xml:space="preserve">, realizando el sujeto obligado una breve explicación y/o fundamentación del </w:t>
      </w:r>
      <w:r>
        <w:rPr>
          <w:rFonts w:ascii="Arial Unicode MS" w:eastAsia="Arial Unicode MS" w:hAnsi="Arial Unicode MS" w:cs="Arial Unicode MS"/>
          <w:b/>
          <w:sz w:val="24"/>
          <w:szCs w:val="24"/>
          <w:u w:val="single"/>
        </w:rPr>
        <w:lastRenderedPageBreak/>
        <w:t>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8C6179" w:rsidRDefault="008C6179" w:rsidP="008C6179">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p>
    <w:p w:rsidR="004A1220" w:rsidRDefault="004A1220">
      <w:pPr>
        <w:jc w:val="both"/>
        <w:rPr>
          <w:rFonts w:ascii="Arial Unicode MS" w:eastAsia="Arial Unicode MS" w:hAnsi="Arial Unicode MS" w:cs="Arial Unicode MS"/>
          <w:sz w:val="24"/>
          <w:szCs w:val="24"/>
        </w:rPr>
      </w:pPr>
    </w:p>
    <w:p w:rsidR="00545FE1" w:rsidRDefault="00562CF7">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545FE1" w:rsidRDefault="00562CF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545FE1" w:rsidRDefault="00562CF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 xml:space="preserve">Conforme a lo establecido en el numeral 2 del literal B) del artículo 44 del Decreto 379/018, cuando se trate de clientes Fideicomisos, Fundaciones y Asociaciones Civiles, se deberá requerir los mismos requisitos que para las Personas Jurídicas, previstos en el </w:t>
      </w:r>
      <w:r w:rsidR="00CD5B73">
        <w:rPr>
          <w:rFonts w:ascii="Arial Unicode MS" w:eastAsia="Arial Unicode MS" w:hAnsi="Arial Unicode MS" w:cs="Arial Unicode MS"/>
          <w:sz w:val="24"/>
          <w:szCs w:val="24"/>
        </w:rPr>
        <w:t xml:space="preserve">numeral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satisfactoriamente los procedimientos de debida diligencia. En dicha carta deberá constar el origen de los fondos aportados, así como el beneficiario final identificado. </w:t>
      </w:r>
    </w:p>
    <w:p w:rsidR="005160EA" w:rsidRDefault="005160EA">
      <w:pPr>
        <w:jc w:val="both"/>
        <w:rPr>
          <w:rFonts w:ascii="Arial Unicode MS" w:eastAsia="Arial Unicode MS" w:hAnsi="Arial Unicode MS" w:cs="Arial Unicode MS"/>
          <w:sz w:val="24"/>
          <w:szCs w:val="24"/>
        </w:rPr>
      </w:pPr>
    </w:p>
    <w:p w:rsidR="005160EA" w:rsidRDefault="005160EA">
      <w:pPr>
        <w:jc w:val="both"/>
        <w:rPr>
          <w:rFonts w:ascii="Arial Unicode MS" w:eastAsia="Arial Unicode MS" w:hAnsi="Arial Unicode MS" w:cs="Arial Unicode MS"/>
          <w:sz w:val="24"/>
          <w:szCs w:val="24"/>
        </w:rPr>
      </w:pPr>
      <w:bookmarkStart w:id="0" w:name="_GoBack"/>
      <w:bookmarkEnd w:id="0"/>
    </w:p>
    <w:p w:rsidR="00545FE1" w:rsidRDefault="00562CF7">
      <w:pPr>
        <w:jc w:val="center"/>
      </w:pPr>
      <w:r>
        <w:rPr>
          <w:rFonts w:ascii="Arial Unicode MS" w:eastAsia="Arial Unicode MS" w:hAnsi="Arial Unicode MS" w:cs="Arial Unicode MS"/>
          <w:b/>
          <w:sz w:val="24"/>
          <w:szCs w:val="24"/>
          <w:u w:val="single"/>
        </w:rPr>
        <w:lastRenderedPageBreak/>
        <w:t>Momento en que debe realizarse la Debida Diligencia de Cliente:</w:t>
      </w:r>
    </w:p>
    <w:p w:rsidR="00545FE1" w:rsidRDefault="00562CF7">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debida diligencia de cliente se debe realizar antes o durante el establecimiento de la relación comercial o al realizar transacciones para clientes ocasionales.</w:t>
      </w:r>
    </w:p>
    <w:p w:rsidR="00BF3B76" w:rsidRDefault="00BF3B76" w:rsidP="00BF3B76">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deberá aumentar la frecuencia de actualización de conocimiento de cliente y realizar un seguimiento más intenso de la relación comercial. </w:t>
      </w:r>
    </w:p>
    <w:p w:rsidR="00545FE1" w:rsidRDefault="00545FE1">
      <w:pPr>
        <w:pStyle w:val="Prrafodelista"/>
        <w:tabs>
          <w:tab w:val="left" w:pos="0"/>
        </w:tabs>
        <w:spacing w:before="240"/>
        <w:ind w:left="0"/>
        <w:jc w:val="both"/>
        <w:rPr>
          <w:rFonts w:ascii="Arial Unicode MS" w:eastAsia="Arial Unicode MS" w:hAnsi="Arial Unicode MS" w:cs="Arial Unicode MS"/>
          <w:sz w:val="24"/>
          <w:szCs w:val="24"/>
        </w:rPr>
      </w:pPr>
    </w:p>
    <w:p w:rsidR="00545FE1" w:rsidRDefault="00562CF7" w:rsidP="00CD5B73">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545FE1" w:rsidRDefault="00562CF7">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obligación de reporte alcanza incluso a aquellas operaciones que involucren activos lícitos, pero se sospeche que están vinculadas a las personas físicas o </w:t>
      </w:r>
      <w:r>
        <w:rPr>
          <w:rFonts w:ascii="Arial Unicode MS" w:eastAsia="Arial Unicode MS" w:hAnsi="Arial Unicode MS" w:cs="Arial Unicode MS"/>
          <w:sz w:val="24"/>
          <w:szCs w:val="24"/>
        </w:rPr>
        <w:lastRenderedPageBreak/>
        <w:t>jurídicas comprendidas en dicho delito o destinados a financiar cualquier actividad terrorista. (Art. 12 y 13 de la Ley 19.574 y 89 del Decreto 379/018).</w:t>
      </w:r>
    </w:p>
    <w:p w:rsidR="00545FE1" w:rsidRDefault="00BF3B76">
      <w:pPr>
        <w:pStyle w:val="Prrafodelista"/>
        <w:tabs>
          <w:tab w:val="left" w:pos="0"/>
        </w:tabs>
        <w:ind w:left="0"/>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Asimismo, los sujetos obligados que han efectuado un congelamiento preventivo conforme al artículo 4 de la Ley 19.749, de 15 de mayo de 2019, lo deberán notificar de inmediato a la UIAF del BCU, de acuerdo a lo previsto en el precitado artículo.</w:t>
      </w:r>
    </w:p>
    <w:p w:rsidR="00896307" w:rsidRDefault="00896307">
      <w:pPr>
        <w:pStyle w:val="Prrafodelista"/>
        <w:tabs>
          <w:tab w:val="left" w:pos="0"/>
        </w:tabs>
        <w:ind w:left="0"/>
        <w:jc w:val="center"/>
        <w:rPr>
          <w:rFonts w:ascii="Arial Unicode MS" w:eastAsia="Arial Unicode MS" w:hAnsi="Arial Unicode MS" w:cs="Arial Unicode MS"/>
          <w:b/>
          <w:sz w:val="24"/>
          <w:szCs w:val="24"/>
          <w:u w:val="single"/>
        </w:rPr>
      </w:pPr>
    </w:p>
    <w:p w:rsidR="00545FE1" w:rsidRDefault="00562CF7">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545FE1" w:rsidRPr="00CD5B73" w:rsidRDefault="00562CF7">
      <w:pPr>
        <w:pStyle w:val="Prrafodelista"/>
        <w:tabs>
          <w:tab w:val="left" w:pos="0"/>
        </w:tabs>
        <w:ind w:left="0"/>
        <w:jc w:val="both"/>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sidR="004D5EB5" w:rsidRPr="004D5EB5">
        <w:rPr>
          <w:rFonts w:ascii="Arial Unicode MS" w:eastAsia="Arial Unicode MS" w:hAnsi="Arial Unicode MS" w:cs="Arial Unicode MS"/>
          <w:sz w:val="24"/>
          <w:szCs w:val="24"/>
          <w:u w:val="single"/>
        </w:rPr>
        <w:t>por un plazo mínimo de cinco años después de terminada la relación comercial o de concretada la operación ocasional.</w:t>
      </w:r>
    </w:p>
    <w:p w:rsidR="00545FE1" w:rsidRDefault="00562CF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w:t>
      </w:r>
      <w:r w:rsidR="00E15820">
        <w:rPr>
          <w:rFonts w:ascii="Arial Unicode MS" w:eastAsia="Arial Unicode MS" w:hAnsi="Arial Unicode MS" w:cs="Arial Unicode MS"/>
          <w:sz w:val="20"/>
          <w:szCs w:val="20"/>
        </w:rPr>
        <w:t>ecífico del Sector: Artículos 41</w:t>
      </w:r>
      <w:r>
        <w:rPr>
          <w:rFonts w:ascii="Arial Unicode MS" w:eastAsia="Arial Unicode MS" w:hAnsi="Arial Unicode MS" w:cs="Arial Unicode MS"/>
          <w:sz w:val="20"/>
          <w:szCs w:val="20"/>
        </w:rPr>
        <w:t xml:space="preserve"> al 49 del Decreto 379/018.</w:t>
      </w:r>
    </w:p>
    <w:p w:rsidR="00545FE1" w:rsidRDefault="00545FE1">
      <w:pPr>
        <w:pStyle w:val="Prrafodelista"/>
        <w:tabs>
          <w:tab w:val="left" w:pos="0"/>
        </w:tabs>
        <w:ind w:left="0"/>
        <w:jc w:val="both"/>
        <w:rPr>
          <w:rFonts w:ascii="Arial Unicode MS" w:eastAsia="Arial Unicode MS" w:hAnsi="Arial Unicode MS" w:cs="Arial Unicode MS"/>
          <w:sz w:val="24"/>
          <w:szCs w:val="24"/>
        </w:rPr>
      </w:pPr>
    </w:p>
    <w:sectPr w:rsidR="00545FE1" w:rsidSect="0037795B">
      <w:headerReference w:type="default" r:id="rId7"/>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38" w:rsidRDefault="00E63138">
      <w:pPr>
        <w:spacing w:after="0" w:line="240" w:lineRule="auto"/>
      </w:pPr>
      <w:r>
        <w:separator/>
      </w:r>
    </w:p>
  </w:endnote>
  <w:endnote w:type="continuationSeparator" w:id="0">
    <w:p w:rsidR="00E63138" w:rsidRDefault="00E6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38" w:rsidRDefault="00E63138">
      <w:pPr>
        <w:spacing w:after="0" w:line="240" w:lineRule="auto"/>
      </w:pPr>
      <w:r>
        <w:separator/>
      </w:r>
    </w:p>
  </w:footnote>
  <w:footnote w:type="continuationSeparator" w:id="0">
    <w:p w:rsidR="00E63138" w:rsidRDefault="00E6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E1" w:rsidRDefault="00562CF7">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1"/>
    <w:rsid w:val="00033C37"/>
    <w:rsid w:val="00183633"/>
    <w:rsid w:val="0026068D"/>
    <w:rsid w:val="00370B27"/>
    <w:rsid w:val="0037795B"/>
    <w:rsid w:val="004200DA"/>
    <w:rsid w:val="004449B7"/>
    <w:rsid w:val="004A1220"/>
    <w:rsid w:val="004B0579"/>
    <w:rsid w:val="004D5EB5"/>
    <w:rsid w:val="005160EA"/>
    <w:rsid w:val="00545FE1"/>
    <w:rsid w:val="00550367"/>
    <w:rsid w:val="00562CF7"/>
    <w:rsid w:val="005872A5"/>
    <w:rsid w:val="005D2BB3"/>
    <w:rsid w:val="006D5810"/>
    <w:rsid w:val="00757536"/>
    <w:rsid w:val="007F6FE4"/>
    <w:rsid w:val="00815822"/>
    <w:rsid w:val="00883440"/>
    <w:rsid w:val="008910C7"/>
    <w:rsid w:val="00896307"/>
    <w:rsid w:val="00897F3A"/>
    <w:rsid w:val="008C6179"/>
    <w:rsid w:val="00951C4A"/>
    <w:rsid w:val="009A5F5D"/>
    <w:rsid w:val="00A412D3"/>
    <w:rsid w:val="00AC142B"/>
    <w:rsid w:val="00AE251E"/>
    <w:rsid w:val="00AE7377"/>
    <w:rsid w:val="00BF3B76"/>
    <w:rsid w:val="00C37B55"/>
    <w:rsid w:val="00CC3655"/>
    <w:rsid w:val="00CD5B73"/>
    <w:rsid w:val="00CF1D35"/>
    <w:rsid w:val="00D66976"/>
    <w:rsid w:val="00DA7B94"/>
    <w:rsid w:val="00DC19FC"/>
    <w:rsid w:val="00E15820"/>
    <w:rsid w:val="00E57B1E"/>
    <w:rsid w:val="00E63138"/>
    <w:rsid w:val="00EF3AC4"/>
    <w:rsid w:val="00F13491"/>
    <w:rsid w:val="00F56D47"/>
    <w:rsid w:val="00F75595"/>
    <w:rsid w:val="00FB3A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FCC8"/>
  <w15:docId w15:val="{7BBCD89A-8588-4590-9769-DC98EC9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37795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37795B"/>
    <w:pPr>
      <w:spacing w:after="140"/>
    </w:pPr>
  </w:style>
  <w:style w:type="paragraph" w:styleId="Lista">
    <w:name w:val="List"/>
    <w:basedOn w:val="Textoindependiente"/>
    <w:rsid w:val="0037795B"/>
    <w:rPr>
      <w:rFonts w:cs="Arial"/>
    </w:rPr>
  </w:style>
  <w:style w:type="paragraph" w:styleId="Descripcin">
    <w:name w:val="caption"/>
    <w:basedOn w:val="Normal"/>
    <w:qFormat/>
    <w:rsid w:val="0037795B"/>
    <w:pPr>
      <w:suppressLineNumbers/>
      <w:spacing w:before="120" w:after="120"/>
    </w:pPr>
    <w:rPr>
      <w:rFonts w:cs="Arial"/>
      <w:i/>
      <w:iCs/>
      <w:sz w:val="24"/>
      <w:szCs w:val="24"/>
    </w:rPr>
  </w:style>
  <w:style w:type="paragraph" w:customStyle="1" w:styleId="ndice">
    <w:name w:val="Índice"/>
    <w:basedOn w:val="Normal"/>
    <w:qFormat/>
    <w:rsid w:val="0037795B"/>
    <w:pPr>
      <w:suppressLineNumbers/>
    </w:pPr>
    <w:rPr>
      <w:rFonts w:cs="Arial"/>
    </w:rPr>
  </w:style>
  <w:style w:type="paragraph" w:customStyle="1" w:styleId="Cabeceraypie">
    <w:name w:val="Cabecera y pie"/>
    <w:basedOn w:val="Normal"/>
    <w:qFormat/>
    <w:rsid w:val="0037795B"/>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C86CD-F8CF-48EF-9331-958193D6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6</cp:revision>
  <dcterms:created xsi:type="dcterms:W3CDTF">2021-09-15T19:46:00Z</dcterms:created>
  <dcterms:modified xsi:type="dcterms:W3CDTF">2021-10-08T14:32:00Z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