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1D" w:rsidRDefault="0078554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INSTRUCTIVO SECTOR INMOBILIARIO</w:t>
      </w:r>
    </w:p>
    <w:p w:rsidR="000950BE" w:rsidRDefault="000950BE">
      <w:pPr>
        <w:jc w:val="center"/>
        <w:rPr>
          <w:rFonts w:ascii="Arial Unicode MS" w:eastAsia="Arial Unicode MS" w:hAnsi="Arial Unicode MS" w:cs="Arial Unicode MS"/>
          <w:b/>
          <w:sz w:val="24"/>
          <w:szCs w:val="24"/>
          <w:u w:val="single"/>
        </w:rPr>
      </w:pPr>
    </w:p>
    <w:p w:rsidR="0010001D" w:rsidRDefault="00785547" w:rsidP="008927F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 Ley N° 19.574, de 20 de diciembre de 2017</w:t>
      </w:r>
      <w:r w:rsidR="008927F8">
        <w:t xml:space="preserve"> </w:t>
      </w:r>
      <w:r w:rsidR="008927F8">
        <w:rPr>
          <w:rFonts w:ascii="Arial Unicode MS" w:eastAsia="Arial Unicode MS" w:hAnsi="Arial Unicode MS" w:cs="Arial Unicode MS"/>
          <w:sz w:val="24"/>
          <w:szCs w:val="24"/>
        </w:rPr>
        <w:t xml:space="preserve">con las modificaciones introducidas por las </w:t>
      </w:r>
      <w:r w:rsidR="008927F8" w:rsidRPr="008927F8">
        <w:rPr>
          <w:rFonts w:ascii="Arial Unicode MS" w:eastAsia="Arial Unicode MS" w:hAnsi="Arial Unicode MS" w:cs="Arial Unicode MS"/>
          <w:sz w:val="24"/>
          <w:szCs w:val="24"/>
        </w:rPr>
        <w:t>Ley</w:t>
      </w:r>
      <w:r w:rsidR="008927F8">
        <w:rPr>
          <w:rFonts w:ascii="Arial Unicode MS" w:eastAsia="Arial Unicode MS" w:hAnsi="Arial Unicode MS" w:cs="Arial Unicode MS"/>
          <w:sz w:val="24"/>
          <w:szCs w:val="24"/>
        </w:rPr>
        <w:t>es Nº 19.670</w:t>
      </w:r>
      <w:r w:rsidR="0075360D">
        <w:rPr>
          <w:rFonts w:ascii="Arial Unicode MS" w:eastAsia="Arial Unicode MS" w:hAnsi="Arial Unicode MS" w:cs="Arial Unicode MS"/>
          <w:sz w:val="24"/>
          <w:szCs w:val="24"/>
        </w:rPr>
        <w:t>,</w:t>
      </w:r>
      <w:r w:rsidR="008927F8">
        <w:rPr>
          <w:rFonts w:ascii="Arial Unicode MS" w:eastAsia="Arial Unicode MS" w:hAnsi="Arial Unicode MS" w:cs="Arial Unicode MS"/>
          <w:sz w:val="24"/>
          <w:szCs w:val="24"/>
        </w:rPr>
        <w:t xml:space="preserve"> de 15 de octubre de </w:t>
      </w:r>
      <w:r w:rsidR="008927F8" w:rsidRPr="008927F8">
        <w:rPr>
          <w:rFonts w:ascii="Arial Unicode MS" w:eastAsia="Arial Unicode MS" w:hAnsi="Arial Unicode MS" w:cs="Arial Unicode MS"/>
          <w:sz w:val="24"/>
          <w:szCs w:val="24"/>
        </w:rPr>
        <w:t>2018</w:t>
      </w:r>
      <w:r w:rsidR="008927F8">
        <w:rPr>
          <w:rFonts w:ascii="Arial Unicode MS" w:eastAsia="Arial Unicode MS" w:hAnsi="Arial Unicode MS" w:cs="Arial Unicode MS"/>
          <w:sz w:val="24"/>
          <w:szCs w:val="24"/>
        </w:rPr>
        <w:t xml:space="preserve"> y 19.889</w:t>
      </w:r>
      <w:r w:rsidR="0075360D">
        <w:rPr>
          <w:rFonts w:ascii="Arial Unicode MS" w:eastAsia="Arial Unicode MS" w:hAnsi="Arial Unicode MS" w:cs="Arial Unicode MS"/>
          <w:sz w:val="24"/>
          <w:szCs w:val="24"/>
        </w:rPr>
        <w:t>,</w:t>
      </w:r>
      <w:r w:rsidR="008927F8">
        <w:rPr>
          <w:rFonts w:ascii="Arial Unicode MS" w:eastAsia="Arial Unicode MS" w:hAnsi="Arial Unicode MS" w:cs="Arial Unicode MS"/>
          <w:sz w:val="24"/>
          <w:szCs w:val="24"/>
        </w:rPr>
        <w:t xml:space="preserve"> de 09 de julio de </w:t>
      </w:r>
      <w:r w:rsidR="008927F8" w:rsidRPr="008927F8">
        <w:rPr>
          <w:rFonts w:ascii="Arial Unicode MS" w:eastAsia="Arial Unicode MS" w:hAnsi="Arial Unicode MS" w:cs="Arial Unicode MS"/>
          <w:sz w:val="24"/>
          <w:szCs w:val="24"/>
        </w:rPr>
        <w:t xml:space="preserve">2020 </w:t>
      </w:r>
      <w:r>
        <w:rPr>
          <w:rFonts w:ascii="Arial Unicode MS" w:eastAsia="Arial Unicode MS" w:hAnsi="Arial Unicode MS" w:cs="Arial Unicode MS"/>
          <w:sz w:val="24"/>
          <w:szCs w:val="24"/>
        </w:rPr>
        <w:t xml:space="preserve">y </w:t>
      </w:r>
      <w:r w:rsidR="008927F8">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 xml:space="preserve">Decreto </w:t>
      </w:r>
      <w:r w:rsidR="008927F8">
        <w:rPr>
          <w:rFonts w:ascii="Arial Unicode MS" w:eastAsia="Arial Unicode MS" w:hAnsi="Arial Unicode MS" w:cs="Arial Unicode MS"/>
          <w:sz w:val="24"/>
          <w:szCs w:val="24"/>
        </w:rPr>
        <w:t xml:space="preserve">reglamentario </w:t>
      </w:r>
      <w:r>
        <w:rPr>
          <w:rFonts w:ascii="Arial Unicode MS" w:eastAsia="Arial Unicode MS" w:hAnsi="Arial Unicode MS" w:cs="Arial Unicode MS"/>
          <w:sz w:val="24"/>
          <w:szCs w:val="24"/>
        </w:rPr>
        <w:t>N° 379/018, de 12 de noviembre de 2018.</w:t>
      </w:r>
    </w:p>
    <w:p w:rsidR="0010001D" w:rsidRDefault="0078554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10001D" w:rsidRDefault="00785547">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El literal B) del artículo 13 de la Ley 19.574 establece que son sujetos obligados no financieros: </w:t>
      </w:r>
      <w:r>
        <w:rPr>
          <w:rFonts w:ascii="Arial Unicode MS" w:eastAsia="Arial Unicode MS" w:hAnsi="Arial Unicode MS" w:cs="Arial Unicode MS"/>
          <w:i/>
          <w:sz w:val="24"/>
          <w:szCs w:val="24"/>
        </w:rPr>
        <w:t>“</w:t>
      </w:r>
      <w:r w:rsidR="000950BE">
        <w:rPr>
          <w:rFonts w:ascii="Arial Unicode MS" w:eastAsia="Arial Unicode MS" w:hAnsi="Arial Unicode MS" w:cs="Arial Unicode MS"/>
          <w:i/>
          <w:sz w:val="24"/>
          <w:szCs w:val="24"/>
        </w:rPr>
        <w:t>L</w:t>
      </w:r>
      <w:r>
        <w:rPr>
          <w:rFonts w:ascii="Arial Unicode MS" w:eastAsia="Arial Unicode MS" w:hAnsi="Arial Unicode MS" w:cs="Arial Unicode MS"/>
          <w:i/>
          <w:sz w:val="24"/>
          <w:szCs w:val="24"/>
        </w:rPr>
        <w:t xml:space="preserve">as inmobiliarias, promotores inmobiliarios, empresas constructoras y otros intermediarios en transacciones que involucren inmuebles, con excepción de los arrendamientos”. </w:t>
      </w:r>
    </w:p>
    <w:p w:rsidR="004A0D93" w:rsidRDefault="00785547">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Dispone el artículo 29 del Decreto 379/018 que los mismos </w:t>
      </w:r>
      <w:r w:rsidR="004A0D93">
        <w:rPr>
          <w:rFonts w:ascii="Arial Unicode MS" w:eastAsia="Arial Unicode MS" w:hAnsi="Arial Unicode MS" w:cs="Arial Unicode MS"/>
          <w:sz w:val="24"/>
          <w:szCs w:val="24"/>
        </w:rPr>
        <w:t xml:space="preserve">como </w:t>
      </w:r>
      <w:r>
        <w:rPr>
          <w:rFonts w:ascii="Arial Unicode MS" w:eastAsia="Arial Unicode MS" w:hAnsi="Arial Unicode MS" w:cs="Arial Unicode MS"/>
          <w:sz w:val="24"/>
          <w:szCs w:val="24"/>
        </w:rPr>
        <w:t>sujetos obligados</w:t>
      </w:r>
      <w:r>
        <w:rPr>
          <w:rFonts w:ascii="Arial Unicode MS" w:eastAsia="Arial Unicode MS" w:hAnsi="Arial Unicode MS" w:cs="Arial Unicode MS"/>
          <w:i/>
          <w:sz w:val="24"/>
          <w:szCs w:val="24"/>
        </w:rPr>
        <w:t xml:space="preserve"> “…deberán cumplir e implementar las disposiciones del presente decreto, y las instrucciones que emitan la Secretaría Nacional para la Lucha contra el Lavado de Activos y el Financiamiento del Terrorismo y el Banco Central del Uruguay, cuando corresponda. </w:t>
      </w:r>
    </w:p>
    <w:p w:rsidR="0010001D" w:rsidRDefault="00785547">
      <w:pPr>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Se entienden comprendidos en el concepto de otro</w:t>
      </w:r>
      <w:r w:rsidR="00277776">
        <w:rPr>
          <w:rFonts w:ascii="Arial Unicode MS" w:eastAsia="Arial Unicode MS" w:hAnsi="Arial Unicode MS" w:cs="Arial Unicode MS"/>
          <w:i/>
          <w:sz w:val="24"/>
          <w:szCs w:val="24"/>
        </w:rPr>
        <w:t xml:space="preserve">s intermediarios </w:t>
      </w:r>
      <w:r>
        <w:rPr>
          <w:rFonts w:ascii="Arial Unicode MS" w:eastAsia="Arial Unicode MS" w:hAnsi="Arial Unicode MS" w:cs="Arial Unicode MS"/>
          <w:i/>
          <w:sz w:val="24"/>
          <w:szCs w:val="24"/>
        </w:rPr>
        <w:t>en transacciones que involucren inmuebles en especial, los fiduciarios, fundadores y los directores de sociedades anónimas dedicados a esa actividad.”</w:t>
      </w:r>
    </w:p>
    <w:p w:rsidR="000950BE" w:rsidRDefault="000950BE">
      <w:pPr>
        <w:spacing w:before="240"/>
        <w:jc w:val="center"/>
        <w:rPr>
          <w:rFonts w:ascii="Arial Unicode MS" w:eastAsia="Arial Unicode MS" w:hAnsi="Arial Unicode MS" w:cs="Arial Unicode MS"/>
          <w:b/>
          <w:sz w:val="24"/>
          <w:szCs w:val="24"/>
          <w:u w:val="single"/>
        </w:rPr>
      </w:pPr>
    </w:p>
    <w:p w:rsidR="0010001D" w:rsidRDefault="00785547">
      <w:pPr>
        <w:spacing w:before="24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Debida Diligencia de Cliente:</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4A0D93">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 xml:space="preserve">formularios o guías, </w:t>
      </w:r>
      <w:r w:rsidR="004A0D93">
        <w:rPr>
          <w:rFonts w:ascii="Arial Unicode MS" w:eastAsia="Arial Unicode MS" w:hAnsi="Arial Unicode MS" w:cs="Arial Unicode MS"/>
          <w:sz w:val="24"/>
          <w:szCs w:val="24"/>
        </w:rPr>
        <w:t xml:space="preserve">dos de ellos para </w:t>
      </w:r>
      <w:r>
        <w:rPr>
          <w:rFonts w:ascii="Arial Unicode MS" w:eastAsia="Arial Unicode MS" w:hAnsi="Arial Unicode MS" w:cs="Arial Unicode MS"/>
          <w:sz w:val="24"/>
          <w:szCs w:val="24"/>
        </w:rPr>
        <w:t>Debida Diligencia Simplificada</w:t>
      </w:r>
      <w:r w:rsidR="004A0D93" w:rsidRPr="004A0D93">
        <w:rPr>
          <w:rFonts w:ascii="Arial Unicode MS" w:eastAsia="Arial Unicode MS" w:hAnsi="Arial Unicode MS" w:cs="Arial Unicode MS"/>
          <w:sz w:val="24"/>
          <w:szCs w:val="24"/>
        </w:rPr>
        <w:t xml:space="preserve"> </w:t>
      </w:r>
      <w:r w:rsidR="00B078A4">
        <w:rPr>
          <w:rFonts w:ascii="Arial Unicode MS" w:eastAsia="Arial Unicode MS" w:hAnsi="Arial Unicode MS" w:cs="Arial Unicode MS"/>
          <w:sz w:val="24"/>
          <w:szCs w:val="24"/>
        </w:rPr>
        <w:t xml:space="preserve">según </w:t>
      </w:r>
      <w:r w:rsidR="004A0D93" w:rsidRPr="005E7AA4">
        <w:rPr>
          <w:rFonts w:ascii="Arial Unicode MS" w:eastAsia="Arial Unicode MS" w:hAnsi="Arial Unicode MS" w:cs="Arial Unicode MS"/>
          <w:sz w:val="24"/>
          <w:szCs w:val="24"/>
        </w:rPr>
        <w:t>sea Persona Física o Jurídica, dos para</w:t>
      </w:r>
      <w:r>
        <w:rPr>
          <w:rFonts w:ascii="Arial Unicode MS" w:eastAsia="Arial Unicode MS" w:hAnsi="Arial Unicode MS" w:cs="Arial Unicode MS"/>
          <w:sz w:val="24"/>
          <w:szCs w:val="24"/>
        </w:rPr>
        <w:t xml:space="preserve"> Debida Diligencia Normal</w:t>
      </w:r>
      <w:r w:rsidR="004A0D93" w:rsidRPr="004A0D93">
        <w:rPr>
          <w:rFonts w:ascii="Arial Unicode MS" w:eastAsia="Arial Unicode MS" w:hAnsi="Arial Unicode MS" w:cs="Arial Unicode MS"/>
          <w:sz w:val="24"/>
          <w:szCs w:val="24"/>
        </w:rPr>
        <w:t xml:space="preserve"> </w:t>
      </w:r>
      <w:r w:rsidR="004A0D93" w:rsidRPr="005E7AA4">
        <w:rPr>
          <w:rFonts w:ascii="Arial Unicode MS" w:eastAsia="Arial Unicode MS" w:hAnsi="Arial Unicode MS" w:cs="Arial Unicode MS"/>
          <w:sz w:val="24"/>
          <w:szCs w:val="24"/>
        </w:rPr>
        <w:t>sea Persona Física o Jurídica</w:t>
      </w:r>
      <w:r w:rsidR="004A0D93">
        <w:rPr>
          <w:rFonts w:ascii="Arial Unicode MS" w:eastAsia="Arial Unicode MS" w:hAnsi="Arial Unicode MS" w:cs="Arial Unicode MS"/>
          <w:sz w:val="24"/>
          <w:szCs w:val="24"/>
        </w:rPr>
        <w:t xml:space="preserve"> y otros </w:t>
      </w:r>
      <w:r w:rsidR="004A0D93" w:rsidRPr="005E7AA4">
        <w:rPr>
          <w:rFonts w:ascii="Arial Unicode MS" w:eastAsia="Arial Unicode MS" w:hAnsi="Arial Unicode MS" w:cs="Arial Unicode MS"/>
          <w:sz w:val="24"/>
          <w:szCs w:val="24"/>
        </w:rPr>
        <w:t xml:space="preserve">dos </w:t>
      </w:r>
      <w:r w:rsidR="004A0D93">
        <w:rPr>
          <w:rFonts w:ascii="Arial Unicode MS" w:eastAsia="Arial Unicode MS" w:hAnsi="Arial Unicode MS" w:cs="Arial Unicode MS"/>
          <w:sz w:val="24"/>
          <w:szCs w:val="24"/>
        </w:rPr>
        <w:t xml:space="preserve">formularios </w:t>
      </w:r>
      <w:r w:rsidR="004A0D93" w:rsidRPr="005E7AA4">
        <w:rPr>
          <w:rFonts w:ascii="Arial Unicode MS" w:eastAsia="Arial Unicode MS" w:hAnsi="Arial Unicode MS" w:cs="Arial Unicode MS"/>
          <w:sz w:val="24"/>
          <w:szCs w:val="24"/>
        </w:rPr>
        <w:t>para</w:t>
      </w:r>
      <w:r>
        <w:rPr>
          <w:rFonts w:ascii="Arial Unicode MS" w:eastAsia="Arial Unicode MS" w:hAnsi="Arial Unicode MS" w:cs="Arial Unicode MS"/>
          <w:sz w:val="24"/>
          <w:szCs w:val="24"/>
        </w:rPr>
        <w:t xml:space="preserve"> Debida Diligencia Intensificada</w:t>
      </w:r>
      <w:r w:rsidR="004A0D93" w:rsidRPr="004A0D93">
        <w:rPr>
          <w:rFonts w:ascii="Arial Unicode MS" w:eastAsia="Arial Unicode MS" w:hAnsi="Arial Unicode MS" w:cs="Arial Unicode MS"/>
          <w:sz w:val="24"/>
          <w:szCs w:val="24"/>
        </w:rPr>
        <w:t xml:space="preserve"> </w:t>
      </w:r>
      <w:r w:rsidR="004A0D93">
        <w:rPr>
          <w:rFonts w:ascii="Arial Unicode MS" w:eastAsia="Arial Unicode MS" w:hAnsi="Arial Unicode MS" w:cs="Arial Unicode MS"/>
          <w:sz w:val="24"/>
          <w:szCs w:val="24"/>
        </w:rPr>
        <w:t xml:space="preserve">según </w:t>
      </w:r>
      <w:r w:rsidR="004A0D93" w:rsidRPr="005E7AA4">
        <w:rPr>
          <w:rFonts w:ascii="Arial Unicode MS" w:eastAsia="Arial Unicode MS" w:hAnsi="Arial Unicode MS" w:cs="Arial Unicode MS"/>
          <w:sz w:val="24"/>
          <w:szCs w:val="24"/>
        </w:rPr>
        <w:t>sea Persona Física o Jurídica</w:t>
      </w:r>
      <w:r>
        <w:rPr>
          <w:rFonts w:ascii="Arial Unicode MS" w:eastAsia="Arial Unicode MS" w:hAnsi="Arial Unicode MS" w:cs="Arial Unicode MS"/>
          <w:sz w:val="24"/>
          <w:szCs w:val="24"/>
        </w:rPr>
        <w:t xml:space="preserve">, </w:t>
      </w:r>
      <w:r w:rsidR="009C580D" w:rsidRPr="00F340FB">
        <w:rPr>
          <w:rFonts w:ascii="Arial Unicode MS" w:eastAsia="Arial Unicode MS" w:hAnsi="Arial Unicode MS" w:cs="Arial Unicode MS"/>
          <w:color w:val="000000" w:themeColor="text1"/>
          <w:sz w:val="24"/>
          <w:szCs w:val="24"/>
        </w:rPr>
        <w:t>l</w:t>
      </w:r>
      <w:r w:rsidR="004A0D93" w:rsidRPr="00F340FB">
        <w:rPr>
          <w:rFonts w:ascii="Arial Unicode MS" w:eastAsia="Arial Unicode MS" w:hAnsi="Arial Unicode MS" w:cs="Arial Unicode MS"/>
          <w:color w:val="000000" w:themeColor="text1"/>
          <w:sz w:val="24"/>
          <w:szCs w:val="24"/>
        </w:rPr>
        <w:t>o</w:t>
      </w:r>
      <w:r w:rsidR="009C580D" w:rsidRPr="00F340FB">
        <w:rPr>
          <w:rFonts w:ascii="Arial Unicode MS" w:eastAsia="Arial Unicode MS" w:hAnsi="Arial Unicode MS" w:cs="Arial Unicode MS"/>
          <w:color w:val="000000" w:themeColor="text1"/>
          <w:sz w:val="24"/>
          <w:szCs w:val="24"/>
        </w:rPr>
        <w:t>s cuales operar</w:t>
      </w:r>
      <w:r w:rsidR="004A0D93" w:rsidRPr="00F340FB">
        <w:rPr>
          <w:rFonts w:ascii="Arial Unicode MS" w:eastAsia="Arial Unicode MS" w:hAnsi="Arial Unicode MS" w:cs="Arial Unicode MS"/>
          <w:color w:val="000000" w:themeColor="text1"/>
          <w:sz w:val="24"/>
          <w:szCs w:val="24"/>
        </w:rPr>
        <w:t>á</w:t>
      </w:r>
      <w:r w:rsidR="009C580D" w:rsidRPr="00F340FB">
        <w:rPr>
          <w:rFonts w:ascii="Arial Unicode MS" w:eastAsia="Arial Unicode MS" w:hAnsi="Arial Unicode MS" w:cs="Arial Unicode MS"/>
          <w:color w:val="000000" w:themeColor="text1"/>
          <w:sz w:val="24"/>
          <w:szCs w:val="24"/>
        </w:rPr>
        <w:t>n en función del riesgo que se le asigne al cliente y/u operación</w:t>
      </w:r>
      <w:r w:rsidR="009C580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señalándose que su uso corresponde de la siguiente manera: </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4A0D93" w:rsidRPr="004A0D93">
        <w:rPr>
          <w:rFonts w:ascii="Arial Unicode MS" w:eastAsia="Arial Unicode MS" w:hAnsi="Arial Unicode MS" w:cs="Arial Unicode MS"/>
          <w:sz w:val="24"/>
          <w:szCs w:val="24"/>
        </w:rPr>
        <w:t xml:space="preserve"> </w:t>
      </w:r>
      <w:r w:rsidR="004A0D9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4A0D93">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4A0D93" w:rsidRPr="004A0D93">
        <w:rPr>
          <w:rFonts w:ascii="Arial Unicode MS" w:eastAsia="Arial Unicode MS" w:hAnsi="Arial Unicode MS" w:cs="Arial Unicode MS"/>
          <w:sz w:val="24"/>
          <w:szCs w:val="24"/>
        </w:rPr>
        <w:t xml:space="preserve"> </w:t>
      </w:r>
      <w:r w:rsidR="004A0D9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4A0D93" w:rsidRPr="004A0D93">
        <w:rPr>
          <w:rFonts w:ascii="Arial Unicode MS" w:eastAsia="Arial Unicode MS" w:hAnsi="Arial Unicode MS" w:cs="Arial Unicode MS"/>
          <w:sz w:val="24"/>
          <w:szCs w:val="24"/>
        </w:rPr>
        <w:t xml:space="preserve"> </w:t>
      </w:r>
      <w:r w:rsidR="004A0D9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w:t>
      </w:r>
      <w:r>
        <w:rPr>
          <w:rFonts w:ascii="Arial Unicode MS" w:eastAsia="Arial Unicode MS" w:hAnsi="Arial Unicode MS" w:cs="Arial Unicode MS"/>
          <w:sz w:val="24"/>
          <w:szCs w:val="24"/>
        </w:rPr>
        <w:lastRenderedPageBreak/>
        <w:t xml:space="preserve">importante es que la debida diligencia de cliente contenga los datos requeridos por la normativa vigente ante cada situación de riesgo. </w:t>
      </w:r>
    </w:p>
    <w:p w:rsidR="00FA68A8" w:rsidRDefault="00FA68A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10001D" w:rsidRDefault="00785547">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10001D" w:rsidRDefault="004A0D9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785547">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mediante</w:t>
      </w:r>
      <w:r w:rsidR="00785547">
        <w:rPr>
          <w:rFonts w:ascii="Arial Unicode MS" w:eastAsia="Arial Unicode MS" w:hAnsi="Arial Unicode MS" w:cs="Arial Unicode MS"/>
          <w:sz w:val="24"/>
          <w:szCs w:val="24"/>
        </w:rPr>
        <w:t xml:space="preserve"> un </w:t>
      </w:r>
      <w:r w:rsidR="00785547">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785547">
        <w:rPr>
          <w:rFonts w:ascii="Arial Unicode MS" w:eastAsia="Arial Unicode MS" w:hAnsi="Arial Unicode MS" w:cs="Arial Unicode MS"/>
          <w:b/>
          <w:bCs/>
          <w:sz w:val="24"/>
          <w:szCs w:val="24"/>
        </w:rPr>
        <w:t>el sujeto obligado</w:t>
      </w:r>
      <w:r w:rsidR="00785547">
        <w:rPr>
          <w:rFonts w:ascii="Arial Unicode MS" w:eastAsia="Arial Unicode MS" w:hAnsi="Arial Unicode MS" w:cs="Arial Unicode MS"/>
          <w:sz w:val="24"/>
          <w:szCs w:val="24"/>
        </w:rPr>
        <w:t xml:space="preserve"> sobre la posibilidad</w:t>
      </w:r>
      <w:r>
        <w:rPr>
          <w:rFonts w:ascii="Arial Unicode MS" w:eastAsia="Arial Unicode MS" w:hAnsi="Arial Unicode MS" w:cs="Arial Unicode MS"/>
          <w:sz w:val="24"/>
          <w:szCs w:val="24"/>
        </w:rPr>
        <w:t xml:space="preserve"> </w:t>
      </w:r>
      <w:r w:rsidR="00785547">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367902"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A15744">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r w:rsidR="00A15744">
        <w:rPr>
          <w:rFonts w:ascii="Arial Unicode MS" w:eastAsia="Arial Unicode MS" w:hAnsi="Arial Unicode MS" w:cs="Arial Unicode MS"/>
          <w:sz w:val="24"/>
          <w:szCs w:val="24"/>
        </w:rPr>
        <w:t xml:space="preserve"> </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w:t>
      </w:r>
      <w:proofErr w:type="gramStart"/>
      <w:r>
        <w:rPr>
          <w:rFonts w:ascii="Arial Unicode MS" w:eastAsia="Arial Unicode MS" w:hAnsi="Arial Unicode MS" w:cs="Arial Unicode MS"/>
          <w:sz w:val="24"/>
          <w:szCs w:val="24"/>
        </w:rPr>
        <w:t>continuación</w:t>
      </w:r>
      <w:proofErr w:type="gramEnd"/>
      <w:r>
        <w:rPr>
          <w:rFonts w:ascii="Arial Unicode MS" w:eastAsia="Arial Unicode MS" w:hAnsi="Arial Unicode MS" w:cs="Arial Unicode MS"/>
          <w:sz w:val="24"/>
          <w:szCs w:val="24"/>
        </w:rPr>
        <w:t xml:space="preserve"> se exponen algunas situaciones referidas a clientes, relaciones comerciales u operaciones que se consideran de riesgo alto, dado que la normativa lo indica en forma expresa (artículo 13 del Decreto 379/018), pero no excluyente.  Es decir que podrían existir conforme al leal saber</w:t>
      </w:r>
      <w:r w:rsidR="004E00C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y entender del sujeto obligado otros elementos o situaciones concretas que le adviertan que el riesgo es igualmente alto. </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Grupo de prevención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Personas Políticamente Expuestas, su cónyuge, concubino y sus parientes por consanguinidad o afinidad hasta el segundo grado, así como los asociados </w:t>
      </w:r>
      <w:r>
        <w:rPr>
          <w:rFonts w:ascii="Arial Unicode MS" w:eastAsia="Arial Unicode MS" w:hAnsi="Arial Unicode MS" w:cs="Arial Unicode MS"/>
          <w:sz w:val="24"/>
          <w:szCs w:val="24"/>
        </w:rPr>
        <w:lastRenderedPageBreak/>
        <w:t>cercanos a ellas cuando estos sean de público conocimiento y quienes realicen operaciones en su nombre.</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B23E87" w:rsidRPr="0078402F">
        <w:rPr>
          <w:rFonts w:ascii="Arial Unicode MS" w:eastAsia="Arial Unicode MS" w:hAnsi="Arial Unicode MS" w:cs="Arial Unicode MS"/>
          <w:sz w:val="24"/>
          <w:szCs w:val="24"/>
        </w:rPr>
        <w:t>Operaciones que se realicen en efectivo, cualquiera sea el monto de las mismas, según lo establecido en el artículo 35 del Decreto 379/018.</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1C2151" w:rsidRDefault="001C2151" w:rsidP="001C215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xml:space="preserve">, </w:t>
      </w:r>
      <w:r>
        <w:rPr>
          <w:rFonts w:ascii="Arial Unicode MS" w:eastAsia="Arial Unicode MS" w:hAnsi="Arial Unicode MS" w:cs="Arial Unicode MS"/>
          <w:b/>
          <w:sz w:val="24"/>
          <w:szCs w:val="24"/>
          <w:u w:val="single"/>
        </w:rPr>
        <w:lastRenderedPageBreak/>
        <w:t>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1C2151" w:rsidRDefault="001C2151" w:rsidP="001C215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p>
    <w:p w:rsidR="0078402F" w:rsidRDefault="0078402F">
      <w:pPr>
        <w:jc w:val="both"/>
        <w:rPr>
          <w:rFonts w:ascii="Arial Unicode MS" w:eastAsia="Arial Unicode MS" w:hAnsi="Arial Unicode MS" w:cs="Arial Unicode MS"/>
          <w:sz w:val="24"/>
          <w:szCs w:val="24"/>
        </w:rPr>
      </w:pPr>
      <w:bookmarkStart w:id="0" w:name="_GoBack"/>
      <w:bookmarkEnd w:id="0"/>
    </w:p>
    <w:p w:rsidR="0010001D" w:rsidRDefault="00785547">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10001D" w:rsidRDefault="0078554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10001D" w:rsidRDefault="0078554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artículo 32 del Decreto 379/018, cuando se trate de clientes Fideicomisos, Fundaciones y Asociaciones Civiles, se deberá requerir los mismos requisitos que para las Personas Jurídicas, previstos en </w:t>
      </w:r>
      <w:r w:rsidR="001957DF">
        <w:rPr>
          <w:rFonts w:ascii="Arial Unicode MS" w:eastAsia="Arial Unicode MS" w:hAnsi="Arial Unicode MS" w:cs="Arial Unicode MS"/>
          <w:sz w:val="24"/>
          <w:szCs w:val="24"/>
        </w:rPr>
        <w:t>el numeral</w:t>
      </w:r>
      <w:r w:rsidR="004A0D93">
        <w:rPr>
          <w:rFonts w:ascii="Arial Unicode MS" w:eastAsia="Arial Unicode MS" w:hAnsi="Arial Unicode MS" w:cs="Arial Unicode MS"/>
          <w:sz w:val="24"/>
          <w:szCs w:val="24"/>
        </w:rPr>
        <w:t xml:space="preserve">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10001D" w:rsidRDefault="0078554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4232FD" w:rsidRPr="004232FD" w:rsidRDefault="004232FD" w:rsidP="004232FD">
      <w:pPr>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Inmobiliarias intervinientes por ambas partes: </w:t>
      </w:r>
      <w:r w:rsidRPr="004232FD">
        <w:rPr>
          <w:rFonts w:ascii="Arial Unicode MS" w:eastAsia="Arial Unicode MS" w:hAnsi="Arial Unicode MS" w:cs="Arial Unicode MS"/>
          <w:sz w:val="24"/>
          <w:szCs w:val="24"/>
        </w:rPr>
        <w:t xml:space="preserve">En aquellas operaciones en las que  intervenga una inmobiliaria por la parte compradora y otra por la vendedora, cada </w:t>
      </w:r>
      <w:r w:rsidRPr="004232FD">
        <w:rPr>
          <w:rFonts w:ascii="Arial Unicode MS" w:eastAsia="Arial Unicode MS" w:hAnsi="Arial Unicode MS" w:cs="Arial Unicode MS"/>
          <w:sz w:val="24"/>
          <w:szCs w:val="24"/>
        </w:rPr>
        <w:lastRenderedPageBreak/>
        <w:t>una deberá hacer la debida diligencia únicamente respecto de su cliente</w:t>
      </w:r>
      <w:r>
        <w:rPr>
          <w:rFonts w:ascii="Arial Unicode MS" w:eastAsia="Arial Unicode MS" w:hAnsi="Arial Unicode MS" w:cs="Arial Unicode MS"/>
          <w:sz w:val="24"/>
          <w:szCs w:val="24"/>
        </w:rPr>
        <w:t>, según lo dispuesto en el artículo 36 del Decreto 379/018</w:t>
      </w:r>
      <w:r w:rsidRPr="004232FD">
        <w:rPr>
          <w:rFonts w:ascii="Arial Unicode MS" w:eastAsia="Arial Unicode MS" w:hAnsi="Arial Unicode MS" w:cs="Arial Unicode MS"/>
          <w:sz w:val="24"/>
          <w:szCs w:val="24"/>
        </w:rPr>
        <w:t>.</w:t>
      </w:r>
    </w:p>
    <w:p w:rsidR="004232FD" w:rsidRDefault="00B23E87">
      <w:pPr>
        <w:jc w:val="both"/>
        <w:rPr>
          <w:rFonts w:ascii="Arial Unicode MS" w:eastAsia="Arial Unicode MS" w:hAnsi="Arial Unicode MS" w:cs="Arial Unicode MS"/>
          <w:sz w:val="24"/>
          <w:szCs w:val="24"/>
        </w:rPr>
      </w:pPr>
      <w:r w:rsidRPr="0078402F">
        <w:rPr>
          <w:rFonts w:ascii="Arial Unicode MS" w:eastAsia="Arial Unicode MS" w:hAnsi="Arial Unicode MS" w:cs="Arial Unicode MS"/>
          <w:b/>
          <w:sz w:val="24"/>
          <w:szCs w:val="24"/>
        </w:rPr>
        <w:t>Industria de la Construcción:</w:t>
      </w:r>
      <w:r w:rsidR="004232FD" w:rsidRPr="004232FD">
        <w:rPr>
          <w:rFonts w:ascii="Arial Unicode MS" w:eastAsia="Arial Unicode MS" w:hAnsi="Arial Unicode MS" w:cs="Arial Unicode MS"/>
          <w:sz w:val="24"/>
          <w:szCs w:val="24"/>
        </w:rPr>
        <w:t xml:space="preserve"> En aquellas operaciones desarrolladas por los sujetos obligados</w:t>
      </w:r>
      <w:r w:rsidR="002D0F27">
        <w:rPr>
          <w:rFonts w:ascii="Arial Unicode MS" w:eastAsia="Arial Unicode MS" w:hAnsi="Arial Unicode MS" w:cs="Arial Unicode MS"/>
          <w:sz w:val="24"/>
          <w:szCs w:val="24"/>
        </w:rPr>
        <w:t xml:space="preserve"> de acuerdo a lo establecido en el artículo 37 del Decreto 379/018</w:t>
      </w:r>
      <w:r w:rsidR="004232FD" w:rsidRPr="004232FD">
        <w:rPr>
          <w:rFonts w:ascii="Arial Unicode MS" w:eastAsia="Arial Unicode MS" w:hAnsi="Arial Unicode MS" w:cs="Arial Unicode MS"/>
          <w:sz w:val="24"/>
          <w:szCs w:val="24"/>
        </w:rPr>
        <w:t xml:space="preserve">, la debida diligencia de cliente </w:t>
      </w:r>
      <w:r w:rsidR="002D0F27">
        <w:rPr>
          <w:rFonts w:ascii="Arial Unicode MS" w:eastAsia="Arial Unicode MS" w:hAnsi="Arial Unicode MS" w:cs="Arial Unicode MS"/>
          <w:sz w:val="24"/>
          <w:szCs w:val="24"/>
        </w:rPr>
        <w:t>alcanzará con</w:t>
      </w:r>
      <w:r w:rsidR="004232FD" w:rsidRPr="004232FD">
        <w:rPr>
          <w:rFonts w:ascii="Arial Unicode MS" w:eastAsia="Arial Unicode MS" w:hAnsi="Arial Unicode MS" w:cs="Arial Unicode MS"/>
          <w:sz w:val="24"/>
          <w:szCs w:val="24"/>
        </w:rPr>
        <w:t xml:space="preserve"> acreditar fehacientemente que se trata </w:t>
      </w:r>
      <w:r w:rsidR="002D0F27">
        <w:rPr>
          <w:rFonts w:ascii="Arial Unicode MS" w:eastAsia="Arial Unicode MS" w:hAnsi="Arial Unicode MS" w:cs="Arial Unicode MS"/>
          <w:sz w:val="24"/>
          <w:szCs w:val="24"/>
        </w:rPr>
        <w:t>de una obra pública</w:t>
      </w:r>
      <w:r w:rsidR="004232FD" w:rsidRPr="004232FD">
        <w:rPr>
          <w:rFonts w:ascii="Arial Unicode MS" w:eastAsia="Arial Unicode MS" w:hAnsi="Arial Unicode MS" w:cs="Arial Unicode MS"/>
          <w:sz w:val="24"/>
          <w:szCs w:val="24"/>
        </w:rPr>
        <w:t>, no siendo necesario obtener información adicional una vez completado dicho requerimiento.</w:t>
      </w:r>
    </w:p>
    <w:p w:rsidR="0078402F" w:rsidRDefault="0078402F">
      <w:pPr>
        <w:jc w:val="both"/>
        <w:rPr>
          <w:rFonts w:ascii="Arial Unicode MS" w:eastAsia="Arial Unicode MS" w:hAnsi="Arial Unicode MS" w:cs="Arial Unicode MS"/>
          <w:sz w:val="24"/>
          <w:szCs w:val="24"/>
        </w:rPr>
      </w:pPr>
    </w:p>
    <w:p w:rsidR="0010001D" w:rsidRDefault="00785547">
      <w:pPr>
        <w:jc w:val="center"/>
      </w:pPr>
      <w:r>
        <w:rPr>
          <w:rFonts w:ascii="Arial Unicode MS" w:eastAsia="Arial Unicode MS" w:hAnsi="Arial Unicode MS" w:cs="Arial Unicode MS"/>
          <w:b/>
          <w:sz w:val="24"/>
          <w:szCs w:val="24"/>
          <w:u w:val="single"/>
        </w:rPr>
        <w:t>Momento en que debe realizarse la Debida Diligencia de Cliente:</w:t>
      </w:r>
    </w:p>
    <w:p w:rsidR="0010001D" w:rsidRDefault="00785547">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8F10FF" w:rsidRDefault="000A6BC8">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w:t>
      </w:r>
      <w:r w:rsidR="008F10FF">
        <w:rPr>
          <w:rFonts w:ascii="Arial Unicode MS" w:eastAsia="Arial Unicode MS" w:hAnsi="Arial Unicode MS" w:cs="Arial Unicode MS"/>
          <w:sz w:val="24"/>
          <w:szCs w:val="24"/>
        </w:rPr>
        <w:t xml:space="preserve">tratándose de relaciones comerciales de carácter permanente, </w:t>
      </w:r>
      <w:r>
        <w:rPr>
          <w:rFonts w:ascii="Arial Unicode MS" w:eastAsia="Arial Unicode MS" w:hAnsi="Arial Unicode MS" w:cs="Arial Unicode MS"/>
          <w:sz w:val="24"/>
          <w:szCs w:val="24"/>
        </w:rPr>
        <w:t>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w:t>
      </w:r>
      <w:r w:rsidR="008F10FF">
        <w:rPr>
          <w:rFonts w:ascii="Arial Unicode MS" w:eastAsia="Arial Unicode MS" w:hAnsi="Arial Unicode MS" w:cs="Arial Unicode MS"/>
          <w:sz w:val="24"/>
          <w:szCs w:val="24"/>
        </w:rPr>
        <w:t xml:space="preserve"> Asimismo, en las medidas de debida diligencia intensificadas, deberá aumentar la frecuencia de actualización de conocimiento de cliente y realizar un seguimiento más intenso de la relación comercial. </w:t>
      </w:r>
    </w:p>
    <w:p w:rsidR="008C5EEB" w:rsidRDefault="008C5EEB">
      <w:pPr>
        <w:pStyle w:val="Prrafodelista"/>
        <w:tabs>
          <w:tab w:val="left" w:pos="0"/>
        </w:tabs>
        <w:spacing w:before="240"/>
        <w:ind w:left="0"/>
        <w:jc w:val="center"/>
        <w:rPr>
          <w:rFonts w:ascii="Arial Unicode MS" w:eastAsia="Arial Unicode MS" w:hAnsi="Arial Unicode MS" w:cs="Arial Unicode MS"/>
          <w:b/>
          <w:sz w:val="24"/>
          <w:szCs w:val="24"/>
          <w:u w:val="single"/>
        </w:rPr>
      </w:pPr>
    </w:p>
    <w:p w:rsidR="0010001D" w:rsidRDefault="00785547">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10001D" w:rsidRDefault="00785547">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informar a la Unidad de Información y Análisis Financiero del Banco Central del Uruguay, las transacciones realizadas o no, que en los usos y </w:t>
      </w:r>
      <w:r>
        <w:rPr>
          <w:rFonts w:ascii="Arial Unicode MS" w:eastAsia="Arial Unicode MS" w:hAnsi="Arial Unicode MS" w:cs="Arial Unicode MS"/>
          <w:sz w:val="24"/>
          <w:szCs w:val="24"/>
        </w:rPr>
        <w:lastRenderedPageBreak/>
        <w:t>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p>
    <w:p w:rsidR="00B078A4" w:rsidRDefault="0075360D" w:rsidP="00E264EA">
      <w:pPr>
        <w:pStyle w:val="Prrafodelista"/>
        <w:tabs>
          <w:tab w:val="left" w:pos="0"/>
        </w:tabs>
        <w:ind w:left="0"/>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Asimismo</w:t>
      </w:r>
      <w:r w:rsidR="00E264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los sujetos obligados que han efectuado un congelamiento preventivo conforme al artículo </w:t>
      </w:r>
      <w:r w:rsidR="004535A4">
        <w:rPr>
          <w:rFonts w:ascii="Arial Unicode MS" w:eastAsia="Arial Unicode MS" w:hAnsi="Arial Unicode MS" w:cs="Arial Unicode MS"/>
          <w:sz w:val="24"/>
          <w:szCs w:val="24"/>
        </w:rPr>
        <w:t>4 de la Ley 19.749</w:t>
      </w:r>
      <w:r w:rsidR="00E264EA">
        <w:rPr>
          <w:rFonts w:ascii="Arial Unicode MS" w:eastAsia="Arial Unicode MS" w:hAnsi="Arial Unicode MS" w:cs="Arial Unicode MS"/>
          <w:sz w:val="24"/>
          <w:szCs w:val="24"/>
        </w:rPr>
        <w:t>,</w:t>
      </w:r>
      <w:r w:rsidR="00B078A4">
        <w:rPr>
          <w:rFonts w:ascii="Arial Unicode MS" w:eastAsia="Arial Unicode MS" w:hAnsi="Arial Unicode MS" w:cs="Arial Unicode MS"/>
          <w:sz w:val="24"/>
          <w:szCs w:val="24"/>
        </w:rPr>
        <w:t xml:space="preserve"> de 15 de mayo de 2019,</w:t>
      </w:r>
      <w:r w:rsidR="00E264EA">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lo deberán notificar de inmediato a la UIAF del BCU, de acuerdo a lo previsto en el precitado artículo.</w:t>
      </w:r>
    </w:p>
    <w:p w:rsidR="00B502FE" w:rsidRDefault="00785547" w:rsidP="0078402F">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10001D" w:rsidRDefault="00785547">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10001D" w:rsidRDefault="007855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29 al 38 del Decreto 379/018.</w:t>
      </w:r>
    </w:p>
    <w:p w:rsidR="0010001D" w:rsidRDefault="0010001D">
      <w:pPr>
        <w:pStyle w:val="Prrafodelista"/>
        <w:tabs>
          <w:tab w:val="left" w:pos="0"/>
        </w:tabs>
        <w:ind w:left="0"/>
        <w:jc w:val="both"/>
        <w:rPr>
          <w:rFonts w:ascii="Arial Unicode MS" w:eastAsia="Arial Unicode MS" w:hAnsi="Arial Unicode MS" w:cs="Arial Unicode MS"/>
          <w:sz w:val="24"/>
          <w:szCs w:val="24"/>
        </w:rPr>
      </w:pPr>
    </w:p>
    <w:sectPr w:rsidR="0010001D" w:rsidSect="00EC5375">
      <w:headerReference w:type="default" r:id="rId7"/>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16" w:rsidRDefault="00AC5616">
      <w:pPr>
        <w:spacing w:after="0" w:line="240" w:lineRule="auto"/>
      </w:pPr>
      <w:r>
        <w:separator/>
      </w:r>
    </w:p>
  </w:endnote>
  <w:endnote w:type="continuationSeparator" w:id="0">
    <w:p w:rsidR="00AC5616" w:rsidRDefault="00AC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16" w:rsidRDefault="00AC5616">
      <w:pPr>
        <w:spacing w:after="0" w:line="240" w:lineRule="auto"/>
      </w:pPr>
      <w:r>
        <w:separator/>
      </w:r>
    </w:p>
  </w:footnote>
  <w:footnote w:type="continuationSeparator" w:id="0">
    <w:p w:rsidR="00AC5616" w:rsidRDefault="00AC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1D" w:rsidRDefault="00785547">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1D"/>
    <w:rsid w:val="000950BE"/>
    <w:rsid w:val="000A6BC8"/>
    <w:rsid w:val="000F1D8D"/>
    <w:rsid w:val="0010001D"/>
    <w:rsid w:val="001957DF"/>
    <w:rsid w:val="001C2151"/>
    <w:rsid w:val="001F5DD7"/>
    <w:rsid w:val="00277776"/>
    <w:rsid w:val="00277A49"/>
    <w:rsid w:val="002D0F27"/>
    <w:rsid w:val="00367902"/>
    <w:rsid w:val="004232FD"/>
    <w:rsid w:val="004535A4"/>
    <w:rsid w:val="004A0D93"/>
    <w:rsid w:val="004B031C"/>
    <w:rsid w:val="004E00C3"/>
    <w:rsid w:val="00542218"/>
    <w:rsid w:val="0072268F"/>
    <w:rsid w:val="0075360D"/>
    <w:rsid w:val="0078402F"/>
    <w:rsid w:val="00785547"/>
    <w:rsid w:val="007D4C72"/>
    <w:rsid w:val="00806B47"/>
    <w:rsid w:val="008927F8"/>
    <w:rsid w:val="008C5EEB"/>
    <w:rsid w:val="008F10FF"/>
    <w:rsid w:val="009C580D"/>
    <w:rsid w:val="009D1336"/>
    <w:rsid w:val="009E0551"/>
    <w:rsid w:val="00A15744"/>
    <w:rsid w:val="00AC5616"/>
    <w:rsid w:val="00B078A4"/>
    <w:rsid w:val="00B23E87"/>
    <w:rsid w:val="00B502FE"/>
    <w:rsid w:val="00B9723C"/>
    <w:rsid w:val="00D50ABB"/>
    <w:rsid w:val="00D80A00"/>
    <w:rsid w:val="00E264EA"/>
    <w:rsid w:val="00E35CBF"/>
    <w:rsid w:val="00E54876"/>
    <w:rsid w:val="00E700F9"/>
    <w:rsid w:val="00E94EC3"/>
    <w:rsid w:val="00EC3B12"/>
    <w:rsid w:val="00EC5375"/>
    <w:rsid w:val="00F340FB"/>
    <w:rsid w:val="00F802C4"/>
    <w:rsid w:val="00FA68A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3427"/>
  <w15:docId w15:val="{6202331F-4211-4022-B9B7-3953716D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EC5375"/>
    <w:pPr>
      <w:keepNext/>
      <w:spacing w:before="240" w:after="120"/>
    </w:pPr>
    <w:rPr>
      <w:rFonts w:ascii="Liberation Sans" w:eastAsia="Microsoft YaHei" w:hAnsi="Liberation Sans" w:cs="Arial"/>
      <w:sz w:val="28"/>
      <w:szCs w:val="28"/>
    </w:rPr>
  </w:style>
  <w:style w:type="paragraph" w:styleId="Textoindependiente">
    <w:name w:val="Body Text"/>
    <w:basedOn w:val="Normal"/>
    <w:rsid w:val="00EC5375"/>
    <w:pPr>
      <w:spacing w:after="140"/>
    </w:pPr>
  </w:style>
  <w:style w:type="paragraph" w:styleId="Lista">
    <w:name w:val="List"/>
    <w:basedOn w:val="Textoindependiente"/>
    <w:rsid w:val="00EC5375"/>
    <w:rPr>
      <w:rFonts w:cs="Arial"/>
    </w:rPr>
  </w:style>
  <w:style w:type="paragraph" w:styleId="Descripcin">
    <w:name w:val="caption"/>
    <w:basedOn w:val="Normal"/>
    <w:qFormat/>
    <w:rsid w:val="00EC5375"/>
    <w:pPr>
      <w:suppressLineNumbers/>
      <w:spacing w:before="120" w:after="120"/>
    </w:pPr>
    <w:rPr>
      <w:rFonts w:cs="Arial"/>
      <w:i/>
      <w:iCs/>
      <w:sz w:val="24"/>
      <w:szCs w:val="24"/>
    </w:rPr>
  </w:style>
  <w:style w:type="paragraph" w:customStyle="1" w:styleId="ndice">
    <w:name w:val="Índice"/>
    <w:basedOn w:val="Normal"/>
    <w:qFormat/>
    <w:rsid w:val="00EC5375"/>
    <w:pPr>
      <w:suppressLineNumbers/>
    </w:pPr>
    <w:rPr>
      <w:rFonts w:cs="Arial"/>
    </w:rPr>
  </w:style>
  <w:style w:type="paragraph" w:customStyle="1" w:styleId="Cabeceraypie">
    <w:name w:val="Cabecera y pie"/>
    <w:basedOn w:val="Normal"/>
    <w:qFormat/>
    <w:rsid w:val="00EC5375"/>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 w:type="paragraph" w:styleId="HTMLconformatoprevio">
    <w:name w:val="HTML Preformatted"/>
    <w:basedOn w:val="Normal"/>
    <w:link w:val="HTMLconformatoprevioCar"/>
    <w:uiPriority w:val="99"/>
    <w:semiHidden/>
    <w:unhideWhenUsed/>
    <w:rsid w:val="008927F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927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6860">
      <w:bodyDiv w:val="1"/>
      <w:marLeft w:val="0"/>
      <w:marRight w:val="0"/>
      <w:marTop w:val="0"/>
      <w:marBottom w:val="0"/>
      <w:divBdr>
        <w:top w:val="none" w:sz="0" w:space="0" w:color="auto"/>
        <w:left w:val="none" w:sz="0" w:space="0" w:color="auto"/>
        <w:bottom w:val="none" w:sz="0" w:space="0" w:color="auto"/>
        <w:right w:val="none" w:sz="0" w:space="0" w:color="auto"/>
      </w:divBdr>
    </w:div>
    <w:div w:id="749428494">
      <w:bodyDiv w:val="1"/>
      <w:marLeft w:val="0"/>
      <w:marRight w:val="0"/>
      <w:marTop w:val="0"/>
      <w:marBottom w:val="0"/>
      <w:divBdr>
        <w:top w:val="none" w:sz="0" w:space="0" w:color="auto"/>
        <w:left w:val="none" w:sz="0" w:space="0" w:color="auto"/>
        <w:bottom w:val="none" w:sz="0" w:space="0" w:color="auto"/>
        <w:right w:val="none" w:sz="0" w:space="0" w:color="auto"/>
      </w:divBdr>
    </w:div>
    <w:div w:id="1798832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7022A-17A7-4A42-98AD-D9E21C20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6</cp:revision>
  <cp:lastPrinted>2021-09-16T18:04:00Z</cp:lastPrinted>
  <dcterms:created xsi:type="dcterms:W3CDTF">2021-09-16T14:58:00Z</dcterms:created>
  <dcterms:modified xsi:type="dcterms:W3CDTF">2021-10-08T14:37:00Z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