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  <w:t>ANEXO 3</w:t>
      </w: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  <w:t>CONTRATO DE AFILIACIÓN</w:t>
      </w: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</w:pPr>
      <w:r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  <w:t>DE INSTITUCIONES INSCRIPTAS EN EL REGISTRO DE PERSONAS JURIDICAS INTERESADAS EN PRESTAR SERVICIOS DE CUIDADOS A TRAVÉS DEL PROGRAMA DE ASISTENTES PERSONALES (Modalidad Provisión Colectiva)</w:t>
      </w: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</w:pPr>
    </w:p>
    <w:tbl>
      <w:tblPr>
        <w:tblStyle w:val="9"/>
        <w:tblW w:w="8490" w:type="dxa"/>
        <w:tblCellSpacing w:w="0" w:type="dxa"/>
        <w:tblInd w:w="0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882"/>
        <w:gridCol w:w="5608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Razón Social: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RUT: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5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Tipo de contribuyente: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Nombre fantasía: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5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Dirección: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Barrio: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5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Localidad: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Departamento: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Teléfono: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5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Mail: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 w:hRule="atLeast"/>
          <w:tblCellSpacing w:w="0" w:type="dxa"/>
        </w:trPr>
        <w:tc>
          <w:tcPr>
            <w:tcW w:w="2882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shd w:val="clear" w:color="auto" w:fill="FFFFFF"/>
                <w:lang w:val="es-ES" w:eastAsia="es-ES"/>
              </w:rPr>
              <w:t>Ramo o giro:</w:t>
            </w:r>
          </w:p>
        </w:tc>
        <w:tc>
          <w:tcPr>
            <w:tcW w:w="5608" w:type="dxa"/>
            <w:tcBorders>
              <w:top w:val="outset" w:color="000001" w:sz="6" w:space="0"/>
              <w:left w:val="outset" w:color="000001" w:sz="6" w:space="0"/>
              <w:bottom w:val="outset" w:color="000001" w:sz="6" w:space="0"/>
              <w:right w:val="outset" w:color="000001" w:sz="6" w:space="0"/>
            </w:tcBorders>
            <w:shd w:val="clear" w:color="auto" w:fill="FFFFFF"/>
          </w:tcPr>
          <w:p>
            <w:pPr>
              <w:spacing w:before="100" w:beforeAutospacing="1" w:after="142" w:line="360" w:lineRule="auto"/>
              <w:ind w:left="561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</w:tbl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</w:pP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</w:pP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>En la ciudad de ____________, a los ___ días del mes de ________ del año ______ entre, por una parte: el Ministerio de Desarrollo Social (en lo sucesivo, “MIDES”), domiciliado en Avenida 18 de Julio Nº 1453 de la ciudad de Montevideo, representado en este acto por ______________; y, por otra parte: ________ (en lo sucesivo, la Institución), RUT XXX, con domicilio en _______________, representado en este acto por ____________________, titular/es de la/las cédula/s de identidad Nº ________, en su calidad de ____________ acuerdan la celebración del presente Contrato de Afiliación de PPJJ inscriptas en el Registro de Empresas interesadas en prestar servicios de cuidado a través del programa de Asistentes Personales (Modalidad Provisión colectiva) el que se regirá por las estipulaciones siguientes: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  <w:t>PRIMERA:</w:t>
      </w: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 xml:space="preserve"> </w:t>
      </w:r>
      <w:r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  <w:t>Antecedentes.</w:t>
      </w:r>
      <w:r>
        <w:rPr>
          <w:rFonts w:ascii="Arial" w:hAnsi="Arial" w:eastAsia="Times New Roman" w:cs="Arial"/>
          <w:sz w:val="24"/>
          <w:szCs w:val="24"/>
          <w:lang w:val="es-ES" w:eastAsia="es-ES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El Programa de Asistentes Personales del SNIC, fue creado a partir de la Ley 19.353 de </w:t>
      </w: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>27 de noviembre 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del 2015 y reglamentado por los Decretos N°117/016, 427/016, 175/020 y 17/020.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color w:val="000000"/>
          <w:sz w:val="24"/>
          <w:szCs w:val="24"/>
          <w:shd w:val="clear" w:color="auto" w:fill="FFFFFF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>SEGUNDA. Objeto:</w:t>
      </w:r>
      <w:r>
        <w:rPr>
          <w:rFonts w:ascii="Arial" w:hAnsi="Arial" w:eastAsia="Times New Roman" w:cs="Arial"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 El presente contrato, tiene como único objeto la adhesión de las Personas Jurídicas al Registro de Personas Jurídicas P</w:t>
      </w:r>
      <w:r>
        <w:rPr>
          <w:rFonts w:ascii="Arial" w:hAnsi="Arial" w:eastAsia="Times New Roman" w:cs="Arial"/>
          <w:bCs/>
          <w:sz w:val="24"/>
          <w:szCs w:val="24"/>
          <w:shd w:val="clear" w:color="auto" w:fill="FFFFFF"/>
          <w:lang w:val="es-ES" w:eastAsia="es-ES"/>
        </w:rPr>
        <w:t>restadoras de Servicios de Asistente Personal del Sistema Nacional Integrado de Cuidados.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TERCERA: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La Persona Jurídica registrada, se obliga a cumplir, durante el plazo de vigencia del presente, con toda la normativa y procedimientos establecidos por el MIDES, como entidad pública responsable de administrar la Prestación.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ascii="Arial" w:hAnsi="Arial" w:eastAsia="Times New Roman" w:cs="Arial"/>
          <w:sz w:val="24"/>
          <w:szCs w:val="24"/>
          <w:lang w:val="es-ES" w:eastAsia="es-ES"/>
        </w:rPr>
        <w:t>Especialmente, en cuanto a lo previsto en el Art. 19 lit b) “…</w:t>
      </w:r>
      <w:r>
        <w:rPr>
          <w:rFonts w:ascii="Arial" w:hAnsi="Arial" w:eastAsia="Times New Roman" w:cs="Arial"/>
          <w:i/>
          <w:sz w:val="24"/>
          <w:szCs w:val="24"/>
          <w:lang w:eastAsia="es-ES"/>
        </w:rPr>
        <w:t>presten el servicio mediante la contratación de Asistentes Personales habilitados por la Secretaría Nacional de Cuidados</w:t>
      </w:r>
      <w:r>
        <w:rPr>
          <w:rFonts w:ascii="Arial" w:hAnsi="Arial" w:eastAsia="Times New Roman" w:cs="Arial"/>
          <w:sz w:val="24"/>
          <w:szCs w:val="24"/>
          <w:lang w:eastAsia="es-ES"/>
        </w:rPr>
        <w:t>”.-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CUARTA: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La Persona Jurídica registrada, se compromete a brindar el Servicio de Asistente Personal a que hace referencia la prestación a las personas usuarias del Sistema Nacional Integrado de Cuidados, sin discriminación alguna.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>QUINTA: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 xml:space="preserve"> La Institución deberá comunicar al MIDES cuando se presenten situaciones especiales o haya detectado alguna situación que requiera desarrollar una estrategia particular.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SEXTA: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 xml:space="preserve">Cualquier cambio que surja en la Persona Jurídica registrada, sea del tipo que sea, que pueda alterar el objetivo de la asistencia a personas usuarias o cualquier otro, que modifique las condiciones de este contrato, se deberá comunicar a la SNCyD en un plazo de 30 días desde el conocimiento del hecho. 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>SEPTIMA.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 xml:space="preserve"> La vigencia del contrato está sujeta al mantenimiento de las condiciones exigidas al momento de la firma del mismo.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DECIMA: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 xml:space="preserve">La renovación del contrato estará sujeta, entre otras condiciones, a contar con una evaluación cuya conclusión sea que el Servicio prestado por la PJ sea de al menos “aceptable”. Dicha evaluación será realizada por la SNCyD. 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DÉCIMA PRIMERA: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La Persona Jurídica asume total y exclusiva responsabilidad frente a los usuarios y Asistentes Personales por cualquier deficiencia del servicio brindado.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>DÉCIMA SEGUNDA: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 xml:space="preserve"> </w:t>
      </w: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>La Persona Jurídica acepta que las condiciones salariales de los Asistentes Personal establecidas las leyes y decretos que las reglamentan.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DÉCIMA TERCERA: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En virtud de lo dispuesto en el Art.36 del Dec. 117/016, los organismos que forman parte del SNIC no serán parte de la relación contractual entre usuario y Asistente Personal.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Es por ello, que ninguno de los organismos que conforman el SNIC tendrán responsabilidad de tipo alguno respecto al vínculo laboral entre usuario y Asistente Personal.</w:t>
      </w: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DÉCIMA CUARTA: </w:t>
      </w:r>
      <w:r>
        <w:rPr>
          <w:rFonts w:ascii="Arial" w:hAnsi="Arial" w:eastAsia="Times New Roman" w:cs="Arial"/>
          <w:b/>
          <w:bCs/>
          <w:sz w:val="24"/>
          <w:szCs w:val="24"/>
          <w:shd w:val="clear" w:color="auto" w:fill="FFFFFF"/>
          <w:lang w:val="es-ES" w:eastAsia="es-ES"/>
        </w:rPr>
        <w:t xml:space="preserve">Formas de extinción del contrato: </w:t>
      </w: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>Como criterio general, la extinción del contrato deberá garantizar en todos los casos el mantenimiento de derechos de las personas implicadas en el servicio ya sean usuarias o AP.</w:t>
      </w: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>El contrato de Afiliación al Registro podrá extinguirse por las siguientes causales</w:t>
      </w: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 xml:space="preserve">1.- Rescisión por mutuo consentimiento. </w:t>
      </w:r>
    </w:p>
    <w:p>
      <w:pPr>
        <w:spacing w:before="100" w:beforeAutospacing="1" w:after="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 xml:space="preserve">2.-En caso de verificarse incumplimiento de alguna de las obligaciones estipuladas en el presente contrato o de la normativa vigente por parte de las PPJJ. </w:t>
      </w:r>
    </w:p>
    <w:p>
      <w:pPr>
        <w:pStyle w:val="11"/>
        <w:shd w:val="clear" w:color="auto" w:fill="FFFFFF"/>
        <w:spacing w:after="150" w:line="360" w:lineRule="auto"/>
        <w:jc w:val="both"/>
        <w:rPr>
          <w:rFonts w:ascii="Arial" w:hAnsi="Arial" w:eastAsia="Times New Roman" w:cs="Arial"/>
          <w:color w:val="333333"/>
          <w:sz w:val="24"/>
          <w:szCs w:val="24"/>
          <w:lang w:eastAsia="es-UY"/>
        </w:rPr>
      </w:pPr>
      <w:r>
        <w:rPr>
          <w:rFonts w:ascii="Arial" w:hAnsi="Arial" w:eastAsia="Times New Roman" w:cs="Arial"/>
          <w:sz w:val="24"/>
          <w:szCs w:val="24"/>
          <w:shd w:val="clear" w:color="auto" w:fill="FFFFFF"/>
          <w:lang w:val="es-ES" w:eastAsia="es-ES"/>
        </w:rPr>
        <w:t>3.- Por el vencimiento del plazo de inscripción. “</w:t>
      </w:r>
      <w:r>
        <w:rPr>
          <w:rFonts w:ascii="Arial" w:hAnsi="Arial" w:eastAsia="Times New Roman" w:cs="Arial"/>
          <w:i/>
          <w:color w:val="333333"/>
          <w:sz w:val="24"/>
          <w:szCs w:val="24"/>
          <w:lang w:eastAsia="es-UY"/>
        </w:rPr>
        <w:t>b) presten el servicio mediante la contratación de Asistentes Personales habilitados por la Secretaría Nacional de Cuidados</w:t>
      </w:r>
      <w:r>
        <w:rPr>
          <w:rFonts w:ascii="Arial" w:hAnsi="Arial" w:eastAsia="Times New Roman" w:cs="Arial"/>
          <w:color w:val="333333"/>
          <w:sz w:val="24"/>
          <w:szCs w:val="24"/>
          <w:lang w:eastAsia="es-UY"/>
        </w:rPr>
        <w:t>”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La empresa registrada autoriza al MIDES a acceder a la información del servicio para obtener estadísticas e informes de uso de los mismos.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DECIMA QUINTA: 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A todos los efectos, derivados del presente contrato, la Institución y el MIDES constituyen domicilio en los indicados en la comparecencia, donde se tendrán por válidas y vinculantes todas las comunicaciones y/o citaciones y/o intimaciones y/o reclamos, que deban cursarse. Las partes aceptan la validez del telegrama colacionado como medio hábil de comunicación y notificación entre ellas.</w:t>
      </w: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</w:pPr>
    </w:p>
    <w:p>
      <w:pPr>
        <w:spacing w:before="100" w:beforeAutospacing="1" w:after="159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val="es-ES" w:eastAsia="es-ES"/>
        </w:rPr>
        <w:t>Y PARA CONSTANCIA SE FIRMA EL PRESENTE EN DOS EJEMPLARES DE UN MISMO TENOR, EN EL LUGAR Y FECHA ARRIBA INDICADOS</w:t>
      </w:r>
    </w:p>
    <w:p>
      <w:pPr>
        <w:spacing w:before="100" w:beforeAutospacing="1" w:after="240" w:line="360" w:lineRule="auto"/>
        <w:jc w:val="both"/>
        <w:rPr>
          <w:rFonts w:ascii="Arial" w:hAnsi="Arial" w:eastAsia="Times New Roman" w:cs="Arial"/>
          <w:sz w:val="24"/>
          <w:szCs w:val="24"/>
          <w:lang w:val="es-ES" w:eastAsia="es-ES"/>
        </w:rPr>
      </w:pPr>
    </w:p>
    <w:tbl>
      <w:tblPr>
        <w:tblStyle w:val="9"/>
        <w:tblW w:w="9645" w:type="dxa"/>
        <w:tblCellSpacing w:w="0" w:type="dxa"/>
        <w:tblInd w:w="0" w:type="dxa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822"/>
        <w:gridCol w:w="4823"/>
      </w:tblGrid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695" w:type="dxa"/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Por (la Persona Jurídica registrada):</w:t>
            </w:r>
          </w:p>
        </w:tc>
        <w:tc>
          <w:tcPr>
            <w:tcW w:w="4695" w:type="dxa"/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 xml:space="preserve">Por el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MIDES: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695" w:type="dxa"/>
            <w:shd w:val="clear" w:color="auto" w:fill="FFFFFF"/>
          </w:tcPr>
          <w:p>
            <w:pPr>
              <w:spacing w:before="100" w:beforeAutospacing="1" w:after="240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Firma/s:</w:t>
            </w:r>
          </w:p>
        </w:tc>
        <w:tc>
          <w:tcPr>
            <w:tcW w:w="4695" w:type="dxa"/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Firma:</w:t>
            </w: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695" w:type="dxa"/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Aclaración:</w:t>
            </w:r>
          </w:p>
        </w:tc>
        <w:tc>
          <w:tcPr>
            <w:tcW w:w="4695" w:type="dxa"/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695" w:type="dxa"/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C.I.:</w:t>
            </w:r>
          </w:p>
        </w:tc>
        <w:tc>
          <w:tcPr>
            <w:tcW w:w="4695" w:type="dxa"/>
            <w:shd w:val="clear" w:color="auto" w:fill="FFFFFF"/>
          </w:tcPr>
          <w:p>
            <w:pPr>
              <w:spacing w:before="100" w:beforeAutospacing="1" w:after="142" w:line="36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2410" w:right="1701" w:bottom="1701" w:left="1701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76" w:lineRule="auto"/>
        <w:ind w:left="0" w:leftChars="0" w:firstLine="0" w:firstLineChars="0"/>
        <w:jc w:val="both"/>
        <w:rPr>
          <w:rFonts w:ascii="Open Sans" w:hAnsi="Open Sans" w:eastAsia="Open Sans" w:cs="Open Sans"/>
          <w:sz w:val="26"/>
          <w:szCs w:val="26"/>
        </w:rPr>
      </w:pPr>
    </w:p>
    <w:sectPr>
      <w:headerReference r:id="rId9" w:type="default"/>
      <w:footerReference r:id="rId10" w:type="default"/>
      <w:pgSz w:w="11906" w:h="16838"/>
      <w:pgMar w:top="2410" w:right="1558" w:bottom="1701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-465455</wp:posOffset>
          </wp:positionV>
          <wp:extent cx="7562850" cy="1085850"/>
          <wp:effectExtent l="0" t="0" r="635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6616065</wp:posOffset>
          </wp:positionH>
          <wp:positionV relativeFrom="paragraph">
            <wp:posOffset>-422275</wp:posOffset>
          </wp:positionV>
          <wp:extent cx="7562850" cy="1085850"/>
          <wp:effectExtent l="0" t="0" r="6350" b="635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6635115</wp:posOffset>
          </wp:positionH>
          <wp:positionV relativeFrom="paragraph">
            <wp:posOffset>-203200</wp:posOffset>
          </wp:positionV>
          <wp:extent cx="7562850" cy="1085850"/>
          <wp:effectExtent l="0" t="0" r="6350" b="635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-155575</wp:posOffset>
          </wp:positionV>
          <wp:extent cx="7562850" cy="1085850"/>
          <wp:effectExtent l="0" t="0" r="635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-446405</wp:posOffset>
          </wp:positionV>
          <wp:extent cx="7562850" cy="108140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-450215</wp:posOffset>
          </wp:positionV>
          <wp:extent cx="7562850" cy="1447800"/>
          <wp:effectExtent l="0" t="0" r="635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5130"/>
        <w:tab w:val="clear" w:pos="4252"/>
        <w:tab w:val="clear" w:pos="8504"/>
      </w:tabs>
    </w:pPr>
    <w:r>
      <w:rPr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-554990</wp:posOffset>
          </wp:positionV>
          <wp:extent cx="7562850" cy="1447800"/>
          <wp:effectExtent l="0" t="0" r="635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-458470</wp:posOffset>
          </wp:positionV>
          <wp:extent cx="7562850" cy="14497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44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5C6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HTML Preformatted"/>
    <w:basedOn w:val="1"/>
    <w:semiHidden/>
    <w:unhideWhenUsed/>
    <w:uiPriority w:val="99"/>
    <w:pPr>
      <w:spacing w:after="0" w:line="240" w:lineRule="auto"/>
    </w:pPr>
    <w:rPr>
      <w:rFonts w:ascii="Consolas" w:hAnsi="Consolas"/>
      <w:sz w:val="20"/>
      <w:szCs w:val="20"/>
    </w:rPr>
  </w:style>
  <w:style w:type="paragraph" w:styleId="12">
    <w:name w:val="Normal (Web)"/>
    <w:basedOn w:val="1"/>
    <w:qFormat/>
    <w:uiPriority w:val="0"/>
    <w:pPr>
      <w:suppressAutoHyphens/>
      <w:spacing w:before="100" w:beforeAutospacing="1" w:after="142" w:line="276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es-UY" w:eastAsia="es-UY" w:bidi="ar-SA"/>
    </w:rPr>
  </w:style>
  <w:style w:type="paragraph" w:styleId="13">
    <w:name w:val="footer"/>
    <w:basedOn w:val="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"/>
    <w:uiPriority w:val="0"/>
  </w:style>
  <w:style w:type="character" w:customStyle="1" w:styleId="17">
    <w:name w:val="Fuente de párrafo predeter.1"/>
    <w:qFormat/>
    <w:uiPriority w:val="0"/>
    <w:rPr>
      <w:w w:val="100"/>
      <w:position w:val="-1"/>
      <w:vertAlign w:val="baseline"/>
      <w:cs w:val="0"/>
    </w:rPr>
  </w:style>
  <w:style w:type="table" w:customStyle="1" w:styleId="18">
    <w:name w:val="Tab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Encabezad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character" w:customStyle="1" w:styleId="20">
    <w:name w:val="Encabezado Car"/>
    <w:basedOn w:val="17"/>
    <w:uiPriority w:val="0"/>
    <w:rPr>
      <w:w w:val="100"/>
      <w:position w:val="-1"/>
      <w:vertAlign w:val="baseline"/>
      <w:cs w:val="0"/>
    </w:rPr>
  </w:style>
  <w:style w:type="paragraph" w:customStyle="1" w:styleId="21">
    <w:name w:val="Pie de página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character" w:customStyle="1" w:styleId="22">
    <w:name w:val="Pie de página Car"/>
    <w:basedOn w:val="17"/>
    <w:uiPriority w:val="0"/>
    <w:rPr>
      <w:w w:val="100"/>
      <w:position w:val="-1"/>
      <w:vertAlign w:val="baseline"/>
      <w:cs w:val="0"/>
    </w:rPr>
  </w:style>
  <w:style w:type="paragraph" w:customStyle="1" w:styleId="23">
    <w:name w:val="Texto de globo1"/>
    <w:basedOn w:val="1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es-UY" w:eastAsia="en-US" w:bidi="ar-SA"/>
    </w:rPr>
  </w:style>
  <w:style w:type="character" w:customStyle="1" w:styleId="24">
    <w:name w:val="Texto de globo C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25">
    <w:name w:val="Normal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-ES" w:eastAsia="es-UY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3h9xil4mWcN62ekyO5lc28u0g==">AMUW2mVWwyTB7lrJho21XnLK8O/SA8MCU8QMD6/9XWwjsPFo7VDcCuapKb5yKV6Oj7KgLRlJpRn7LIV6uSoRMd5kklmpi7Q6slajMFJn3aO06LQLoADcxbk=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2020-03-10T19:32:00Z</dcterms:created>
  <dc:creator>Conrado Roberto Hornos Clavaguera</dc:creator>
  <cp:lastModifiedBy>danie</cp:lastModifiedBy>
  <dcterms:modified xsi:type="dcterms:W3CDTF">2022-04-06T17:38:20Z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3082-11.2.0.11042</vt:lpwstr>
  </property>
  <property fmtid="{D5CDD505-2E9C-101B-9397-08002B2CF9AE}" pid="3" name="ICV">
    <vt:lpwstr>87B391819C0544D384F900EFD6F584FC</vt:lpwstr>
  </property>
</Properties>
</file>