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193B" w:rsidRPr="003066E2" w:rsidRDefault="00F7097B">
      <w:pPr>
        <w:pStyle w:val="Heading1"/>
        <w:keepNext w:val="0"/>
        <w:keepLines w:val="0"/>
        <w:widowControl w:val="0"/>
        <w:spacing w:after="100" w:line="240" w:lineRule="auto"/>
        <w:jc w:val="both"/>
        <w:rPr>
          <w:rFonts w:ascii="Cambria" w:eastAsia="Assistant" w:hAnsi="Cambria" w:cs="Assistant"/>
          <w:sz w:val="24"/>
          <w:szCs w:val="24"/>
        </w:rPr>
      </w:pPr>
      <w:bookmarkStart w:id="0" w:name="_nizc6bt9c0zj" w:colFirst="0" w:colLast="0"/>
      <w:bookmarkStart w:id="1" w:name="_GoBack"/>
      <w:bookmarkEnd w:id="0"/>
      <w:bookmarkEnd w:id="1"/>
      <w:r w:rsidRPr="003066E2">
        <w:rPr>
          <w:rFonts w:ascii="Cambria" w:eastAsia="Assistant" w:hAnsi="Cambria" w:cs="Assistant"/>
          <w:b/>
          <w:sz w:val="24"/>
          <w:szCs w:val="24"/>
        </w:rPr>
        <w:t>ANEXO. Criterios de sanciones</w:t>
      </w:r>
    </w:p>
    <w:p w:rsidR="0001193B" w:rsidRPr="003066E2" w:rsidRDefault="00F7097B">
      <w:pPr>
        <w:pStyle w:val="Heading2"/>
        <w:spacing w:after="100" w:line="240" w:lineRule="auto"/>
        <w:rPr>
          <w:rFonts w:ascii="Cambria" w:hAnsi="Cambria"/>
          <w:b/>
          <w:sz w:val="24"/>
          <w:szCs w:val="24"/>
        </w:rPr>
      </w:pPr>
      <w:bookmarkStart w:id="2" w:name="_r32bhda3x42a" w:colFirst="0" w:colLast="0"/>
      <w:bookmarkEnd w:id="2"/>
      <w:r w:rsidRPr="003066E2">
        <w:rPr>
          <w:rFonts w:ascii="Cambria" w:hAnsi="Cambria"/>
          <w:b/>
          <w:sz w:val="24"/>
          <w:szCs w:val="24"/>
        </w:rPr>
        <w:t>Capítulo I. Criterios Básicos</w:t>
      </w:r>
    </w:p>
    <w:p w:rsidR="0001193B" w:rsidRPr="003066E2" w:rsidRDefault="00F7097B">
      <w:pPr>
        <w:pStyle w:val="Heading2"/>
        <w:rPr>
          <w:rFonts w:ascii="Cambria" w:hAnsi="Cambria"/>
          <w:sz w:val="24"/>
          <w:szCs w:val="24"/>
        </w:rPr>
      </w:pPr>
      <w:bookmarkStart w:id="3" w:name="_p1b697dir95a" w:colFirst="0" w:colLast="0"/>
      <w:bookmarkEnd w:id="3"/>
      <w:r w:rsidRPr="003066E2">
        <w:rPr>
          <w:rFonts w:ascii="Cambria" w:hAnsi="Cambria"/>
          <w:sz w:val="24"/>
          <w:szCs w:val="24"/>
        </w:rPr>
        <w:t>1. Infracciones relativas al generador de vapor</w:t>
      </w:r>
    </w:p>
    <w:p w:rsidR="00353C97" w:rsidRPr="003066E2" w:rsidRDefault="00353C97" w:rsidP="00353C97">
      <w:pPr>
        <w:rPr>
          <w:sz w:val="24"/>
          <w:szCs w:val="24"/>
        </w:rPr>
      </w:pPr>
    </w:p>
    <w:p w:rsidR="0001193B" w:rsidRPr="003066E2" w:rsidRDefault="00F7097B">
      <w:pPr>
        <w:pStyle w:val="Heading3"/>
        <w:jc w:val="both"/>
        <w:rPr>
          <w:rFonts w:ascii="Cambria" w:hAnsi="Cambria"/>
          <w:b/>
          <w:sz w:val="24"/>
          <w:szCs w:val="24"/>
        </w:rPr>
      </w:pPr>
      <w:bookmarkStart w:id="4" w:name="_7uedru8x929a" w:colFirst="0" w:colLast="0"/>
      <w:bookmarkEnd w:id="4"/>
      <w:r w:rsidRPr="003066E2">
        <w:rPr>
          <w:rFonts w:ascii="Cambria" w:hAnsi="Cambria"/>
          <w:b/>
          <w:sz w:val="24"/>
          <w:szCs w:val="24"/>
        </w:rPr>
        <w:t>1.1 Obligación de registrar el Generador de vapor</w:t>
      </w:r>
      <w:r w:rsidRPr="003066E2">
        <w:rPr>
          <w:rFonts w:ascii="Cambria" w:hAnsi="Cambria"/>
          <w:b/>
          <w:sz w:val="24"/>
          <w:szCs w:val="24"/>
          <w:vertAlign w:val="superscript"/>
        </w:rPr>
        <w:footnoteReference w:id="1"/>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Todo </w:t>
      </w:r>
      <w:r w:rsidRPr="003066E2">
        <w:rPr>
          <w:rFonts w:ascii="Cambria" w:eastAsia="Assistant" w:hAnsi="Cambria" w:cs="Assistant"/>
          <w:i/>
          <w:sz w:val="24"/>
          <w:szCs w:val="24"/>
        </w:rPr>
        <w:t>Propietario</w:t>
      </w:r>
      <w:r w:rsidRPr="003066E2">
        <w:rPr>
          <w:rFonts w:ascii="Cambria" w:eastAsia="Assistant" w:hAnsi="Cambria" w:cs="Assistant"/>
          <w:sz w:val="24"/>
          <w:szCs w:val="24"/>
        </w:rPr>
        <w:t xml:space="preserve"> de un </w:t>
      </w:r>
      <w:r w:rsidRPr="003066E2">
        <w:rPr>
          <w:rFonts w:ascii="Cambria" w:eastAsia="Assistant" w:hAnsi="Cambria" w:cs="Assistant"/>
          <w:i/>
          <w:sz w:val="24"/>
          <w:szCs w:val="24"/>
        </w:rPr>
        <w:t>Generador de vapor</w:t>
      </w:r>
      <w:r w:rsidRPr="003066E2">
        <w:rPr>
          <w:rFonts w:ascii="Cambria" w:eastAsia="Assistant" w:hAnsi="Cambria" w:cs="Assistant"/>
          <w:sz w:val="24"/>
          <w:szCs w:val="24"/>
        </w:rPr>
        <w:t xml:space="preserve"> deberá registrarlo ante Ursea. El registro del </w:t>
      </w:r>
      <w:r w:rsidRPr="003066E2">
        <w:rPr>
          <w:rFonts w:ascii="Cambria" w:eastAsia="Assistant" w:hAnsi="Cambria" w:cs="Assistant"/>
          <w:i/>
          <w:sz w:val="24"/>
          <w:szCs w:val="24"/>
        </w:rPr>
        <w:t>Generador de vapor</w:t>
      </w:r>
      <w:r w:rsidRPr="003066E2">
        <w:rPr>
          <w:rFonts w:ascii="Cambria" w:eastAsia="Assistant" w:hAnsi="Cambria" w:cs="Assistant"/>
          <w:sz w:val="24"/>
          <w:szCs w:val="24"/>
        </w:rPr>
        <w:t xml:space="preserve"> es básico para que la Ursea pueda ejercer la supervisión del mismo.</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1.1.1 </w:t>
      </w:r>
      <w:r w:rsidRPr="003066E2">
        <w:rPr>
          <w:rFonts w:ascii="Cambria" w:eastAsia="Assistant" w:hAnsi="Cambria" w:cs="Assistant"/>
          <w:sz w:val="24"/>
          <w:szCs w:val="24"/>
          <w:u w:val="single"/>
        </w:rPr>
        <w:t>Generador de vapor con registro no actualizado</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El </w:t>
      </w:r>
      <w:r w:rsidRPr="003066E2">
        <w:rPr>
          <w:rFonts w:ascii="Cambria" w:eastAsia="Assistant" w:hAnsi="Cambria" w:cs="Assistant"/>
          <w:i/>
          <w:sz w:val="24"/>
          <w:szCs w:val="24"/>
        </w:rPr>
        <w:t>generador de vapor</w:t>
      </w:r>
      <w:r w:rsidRPr="003066E2">
        <w:rPr>
          <w:rFonts w:ascii="Cambria" w:eastAsia="Assistant" w:hAnsi="Cambria" w:cs="Assistant"/>
          <w:sz w:val="24"/>
          <w:szCs w:val="24"/>
        </w:rPr>
        <w:t xml:space="preserve"> con registro no actualizado es aquel respecto del cual existen discrepancias entre los datos reales y los que constan en los registros de la Ursea. Esto puede deberse a cambios no informados, por ejemplo Razón Social del </w:t>
      </w:r>
      <w:r w:rsidRPr="003066E2">
        <w:rPr>
          <w:rFonts w:ascii="Cambria" w:eastAsia="Assistant" w:hAnsi="Cambria" w:cs="Assistant"/>
          <w:i/>
          <w:sz w:val="24"/>
          <w:szCs w:val="24"/>
        </w:rPr>
        <w:t>Propietario</w:t>
      </w:r>
      <w:r w:rsidRPr="003066E2">
        <w:rPr>
          <w:rFonts w:ascii="Cambria" w:eastAsia="Assistant" w:hAnsi="Cambria" w:cs="Assistant"/>
          <w:sz w:val="24"/>
          <w:szCs w:val="24"/>
        </w:rPr>
        <w:t>.</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Pueden darse diferentes situaciones; se considera que es una infracción leve, por lo que la sanción correspondiente es un </w:t>
      </w:r>
      <w:r w:rsidRPr="003066E2">
        <w:rPr>
          <w:rFonts w:ascii="Cambria" w:eastAsia="Assistant" w:hAnsi="Cambria" w:cs="Assistant"/>
          <w:b/>
          <w:sz w:val="24"/>
          <w:szCs w:val="24"/>
        </w:rPr>
        <w:t>Apercibimiento</w:t>
      </w:r>
      <w:r w:rsidRPr="003066E2">
        <w:rPr>
          <w:rFonts w:ascii="Cambria" w:eastAsia="Assistant" w:hAnsi="Cambria" w:cs="Assistant"/>
          <w:sz w:val="24"/>
          <w:szCs w:val="24"/>
        </w:rPr>
        <w:t xml:space="preserve"> o una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 </w:t>
      </w:r>
      <w:r w:rsidRPr="003066E2">
        <w:rPr>
          <w:rFonts w:ascii="Cambria" w:eastAsia="Assistant" w:hAnsi="Cambria" w:cs="Assistant"/>
          <w:b/>
          <w:sz w:val="24"/>
          <w:szCs w:val="24"/>
        </w:rPr>
        <w:t>factor de 0,5</w:t>
      </w:r>
      <w:r w:rsidRPr="003066E2">
        <w:rPr>
          <w:rFonts w:ascii="Cambria" w:eastAsia="Assistant" w:hAnsi="Cambria" w:cs="Assistant"/>
          <w:sz w:val="24"/>
          <w:szCs w:val="24"/>
        </w:rPr>
        <w:t xml:space="preserve"> si se observan discrepancias importantes.</w:t>
      </w:r>
    </w:p>
    <w:p w:rsidR="0001193B" w:rsidRPr="003066E2" w:rsidRDefault="00F7097B">
      <w:pPr>
        <w:spacing w:after="100" w:line="240" w:lineRule="auto"/>
        <w:jc w:val="both"/>
        <w:rPr>
          <w:rFonts w:ascii="Cambria" w:eastAsia="Assistant" w:hAnsi="Cambria" w:cs="Assistant"/>
          <w:sz w:val="24"/>
          <w:szCs w:val="24"/>
          <w:u w:val="single"/>
        </w:rPr>
      </w:pPr>
      <w:r w:rsidRPr="003066E2">
        <w:rPr>
          <w:rFonts w:ascii="Cambria" w:eastAsia="Assistant" w:hAnsi="Cambria" w:cs="Assistant"/>
          <w:sz w:val="24"/>
          <w:szCs w:val="24"/>
        </w:rPr>
        <w:t xml:space="preserve">1.1.2. </w:t>
      </w:r>
      <w:r w:rsidRPr="003066E2">
        <w:rPr>
          <w:rFonts w:ascii="Cambria" w:eastAsia="Assistant" w:hAnsi="Cambria" w:cs="Assistant"/>
          <w:sz w:val="24"/>
          <w:szCs w:val="24"/>
          <w:u w:val="single"/>
        </w:rPr>
        <w:t>Generador de vapor no registrado</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Un </w:t>
      </w:r>
      <w:r w:rsidRPr="003066E2">
        <w:rPr>
          <w:rFonts w:ascii="Cambria" w:eastAsia="Assistant" w:hAnsi="Cambria" w:cs="Assistant"/>
          <w:i/>
          <w:sz w:val="24"/>
          <w:szCs w:val="24"/>
        </w:rPr>
        <w:t>generador de vapor</w:t>
      </w:r>
      <w:r w:rsidRPr="003066E2">
        <w:rPr>
          <w:rFonts w:ascii="Cambria" w:eastAsia="Assistant" w:hAnsi="Cambria" w:cs="Assistant"/>
          <w:sz w:val="24"/>
          <w:szCs w:val="24"/>
        </w:rPr>
        <w:t xml:space="preserve"> no registrado es aquel que no se encuentra incluido en el registro de la Ursea, es decir, no cuenta con número de registro de Ursea. La infracción es de mayor gravedad a la indicada en el punto 1.1.1, por lo que la sanción correspondiente es una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w:t>
      </w:r>
      <w:r w:rsidRPr="003066E2">
        <w:rPr>
          <w:rFonts w:ascii="Cambria" w:eastAsia="Assistant" w:hAnsi="Cambria" w:cs="Assistant"/>
          <w:b/>
          <w:sz w:val="24"/>
          <w:szCs w:val="24"/>
        </w:rPr>
        <w:t xml:space="preserve"> factor de 1</w:t>
      </w:r>
      <w:r w:rsidRPr="003066E2">
        <w:rPr>
          <w:rFonts w:ascii="Cambria" w:eastAsia="Assistant" w:hAnsi="Cambria" w:cs="Assistant"/>
          <w:sz w:val="24"/>
          <w:szCs w:val="24"/>
        </w:rPr>
        <w:t>.</w:t>
      </w:r>
    </w:p>
    <w:p w:rsidR="0001193B" w:rsidRPr="003066E2" w:rsidRDefault="0001193B">
      <w:pPr>
        <w:spacing w:after="100" w:line="240" w:lineRule="auto"/>
        <w:jc w:val="both"/>
        <w:rPr>
          <w:rFonts w:ascii="Cambria" w:eastAsia="Assistant" w:hAnsi="Cambria" w:cs="Assistant"/>
          <w:sz w:val="24"/>
          <w:szCs w:val="24"/>
        </w:rPr>
      </w:pPr>
    </w:p>
    <w:p w:rsidR="0001193B" w:rsidRPr="003066E2" w:rsidRDefault="00F7097B">
      <w:pPr>
        <w:pStyle w:val="Heading3"/>
        <w:jc w:val="both"/>
        <w:rPr>
          <w:rFonts w:ascii="Cambria" w:hAnsi="Cambria"/>
          <w:b/>
          <w:sz w:val="24"/>
          <w:szCs w:val="24"/>
        </w:rPr>
      </w:pPr>
      <w:bookmarkStart w:id="5" w:name="_u9ptz4snbir" w:colFirst="0" w:colLast="0"/>
      <w:bookmarkEnd w:id="5"/>
      <w:r w:rsidRPr="003066E2">
        <w:rPr>
          <w:rFonts w:ascii="Cambria" w:hAnsi="Cambria"/>
          <w:b/>
          <w:sz w:val="24"/>
          <w:szCs w:val="24"/>
        </w:rPr>
        <w:t>1.2. Obligación de habilitar el Generadores de vapor</w:t>
      </w:r>
      <w:r w:rsidRPr="003066E2">
        <w:rPr>
          <w:rFonts w:ascii="Cambria" w:hAnsi="Cambria"/>
          <w:b/>
          <w:sz w:val="24"/>
          <w:szCs w:val="24"/>
          <w:vertAlign w:val="superscript"/>
        </w:rPr>
        <w:footnoteReference w:id="2"/>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El sistema normativo vigente obliga a los </w:t>
      </w:r>
      <w:r w:rsidRPr="003066E2">
        <w:rPr>
          <w:rFonts w:ascii="Cambria" w:eastAsia="Assistant" w:hAnsi="Cambria" w:cs="Assistant"/>
          <w:i/>
          <w:sz w:val="24"/>
          <w:szCs w:val="24"/>
        </w:rPr>
        <w:t>Propietarios</w:t>
      </w:r>
      <w:r w:rsidRPr="003066E2">
        <w:rPr>
          <w:rFonts w:ascii="Cambria" w:eastAsia="Assistant" w:hAnsi="Cambria" w:cs="Assistant"/>
          <w:sz w:val="24"/>
          <w:szCs w:val="24"/>
        </w:rPr>
        <w:t xml:space="preserve"> de </w:t>
      </w:r>
      <w:r w:rsidRPr="003066E2">
        <w:rPr>
          <w:rFonts w:ascii="Cambria" w:eastAsia="Assistant" w:hAnsi="Cambria" w:cs="Assistant"/>
          <w:i/>
          <w:sz w:val="24"/>
          <w:szCs w:val="24"/>
        </w:rPr>
        <w:t>Generadores de vapor</w:t>
      </w:r>
      <w:r w:rsidRPr="003066E2">
        <w:rPr>
          <w:rFonts w:ascii="Cambria" w:eastAsia="Assistant" w:hAnsi="Cambria" w:cs="Assistant"/>
          <w:sz w:val="24"/>
          <w:szCs w:val="24"/>
        </w:rPr>
        <w:t xml:space="preserve"> a que en forma previa a su puesta en servicio se acredite que los mismos cuenten con la habilitación de la Ursea para lo cual deberán superar satisfactoriamente una inspección de habilitación o rehabilitación y posteriormente realizar las inspecciones anuales periódicas correspondientes.</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1</w:t>
      </w:r>
      <w:bookmarkStart w:id="6" w:name="v7amytyklylu" w:colFirst="0" w:colLast="0"/>
      <w:bookmarkEnd w:id="6"/>
      <w:r w:rsidRPr="003066E2">
        <w:rPr>
          <w:rFonts w:ascii="Cambria" w:eastAsia="Assistant" w:hAnsi="Cambria" w:cs="Assistant"/>
          <w:sz w:val="24"/>
          <w:szCs w:val="24"/>
        </w:rPr>
        <w:t xml:space="preserve">.2.1. </w:t>
      </w:r>
      <w:r w:rsidRPr="003066E2">
        <w:rPr>
          <w:rFonts w:ascii="Cambria" w:eastAsia="Assistant" w:hAnsi="Cambria" w:cs="Assistant"/>
          <w:sz w:val="24"/>
          <w:szCs w:val="24"/>
          <w:u w:val="single"/>
        </w:rPr>
        <w:t>Generador de vapor sin habilitación vigente</w:t>
      </w:r>
    </w:p>
    <w:p w:rsidR="0001193B" w:rsidRPr="003066E2" w:rsidRDefault="00F7097B">
      <w:pPr>
        <w:pBdr>
          <w:top w:val="nil"/>
          <w:left w:val="nil"/>
          <w:bottom w:val="nil"/>
          <w:right w:val="nil"/>
          <w:between w:val="nil"/>
        </w:pBd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El </w:t>
      </w:r>
      <w:r w:rsidRPr="003066E2">
        <w:rPr>
          <w:rFonts w:ascii="Cambria" w:eastAsia="Assistant" w:hAnsi="Cambria" w:cs="Assistant"/>
          <w:i/>
          <w:sz w:val="24"/>
          <w:szCs w:val="24"/>
        </w:rPr>
        <w:t>Generador de vapor</w:t>
      </w:r>
      <w:r w:rsidRPr="003066E2">
        <w:rPr>
          <w:rFonts w:ascii="Cambria" w:eastAsia="Assistant" w:hAnsi="Cambria" w:cs="Assistant"/>
          <w:sz w:val="24"/>
          <w:szCs w:val="24"/>
        </w:rPr>
        <w:t xml:space="preserve"> sin habilitación vigente es aquel que se encuentra operativo fuera del plazo de habilitación otorgado o aquel para el cual hubiera cesado su habilitación de forma automática de acuerdo a lo establecido en el artículo 165 del Reglamento de generadores de vapor (Reubicado, fuera de servicio por más de un año o sometido a reparación mayor sobre el cuerpo de presión y/o alteración). No se incluyen en este punto los casos en que la Ursea resuelve la no habilitación (</w:t>
      </w:r>
      <w:hyperlink w:anchor="yi3k9mjnhtkw">
        <w:r w:rsidRPr="003066E2">
          <w:rPr>
            <w:rFonts w:ascii="Cambria" w:eastAsia="Assistant" w:hAnsi="Cambria" w:cs="Assistant"/>
            <w:sz w:val="24"/>
            <w:szCs w:val="24"/>
          </w:rPr>
          <w:t>punto 1.2.3</w:t>
        </w:r>
      </w:hyperlink>
      <w:r w:rsidRPr="003066E2">
        <w:rPr>
          <w:rFonts w:ascii="Cambria" w:eastAsia="Assistant" w:hAnsi="Cambria" w:cs="Assistant"/>
          <w:sz w:val="24"/>
          <w:szCs w:val="24"/>
        </w:rPr>
        <w:t>).</w:t>
      </w:r>
    </w:p>
    <w:p w:rsidR="0001193B" w:rsidRPr="003066E2" w:rsidRDefault="00F7097B">
      <w:pPr>
        <w:spacing w:after="100" w:line="240" w:lineRule="auto"/>
        <w:jc w:val="both"/>
        <w:rPr>
          <w:rFonts w:ascii="Cambria" w:eastAsia="Assistant" w:hAnsi="Cambria" w:cs="Assistant"/>
          <w:sz w:val="24"/>
          <w:szCs w:val="24"/>
          <w:shd w:val="clear" w:color="auto" w:fill="999999"/>
        </w:rPr>
      </w:pPr>
      <w:r w:rsidRPr="003066E2">
        <w:rPr>
          <w:rFonts w:ascii="Cambria" w:eastAsia="Assistant" w:hAnsi="Cambria" w:cs="Assistant"/>
          <w:sz w:val="24"/>
          <w:szCs w:val="24"/>
        </w:rPr>
        <w:t xml:space="preserve">La sanción correspondiente es una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w:t>
      </w:r>
      <w:r w:rsidRPr="003066E2">
        <w:rPr>
          <w:rFonts w:ascii="Cambria" w:eastAsia="Assistant" w:hAnsi="Cambria" w:cs="Assistant"/>
          <w:b/>
          <w:sz w:val="24"/>
          <w:szCs w:val="24"/>
        </w:rPr>
        <w:t xml:space="preserve"> factor de 2</w:t>
      </w:r>
      <w:r w:rsidRPr="003066E2">
        <w:rPr>
          <w:rFonts w:ascii="Cambria" w:eastAsia="Assistant" w:hAnsi="Cambria" w:cs="Assistant"/>
          <w:sz w:val="24"/>
          <w:szCs w:val="24"/>
        </w:rPr>
        <w:t>.</w:t>
      </w:r>
    </w:p>
    <w:p w:rsidR="0001193B" w:rsidRPr="003066E2" w:rsidRDefault="00F7097B">
      <w:pPr>
        <w:spacing w:after="100" w:line="240" w:lineRule="auto"/>
        <w:jc w:val="both"/>
        <w:rPr>
          <w:rFonts w:ascii="Cambria" w:eastAsia="Assistant" w:hAnsi="Cambria" w:cs="Assistant"/>
          <w:sz w:val="24"/>
          <w:szCs w:val="24"/>
          <w:u w:val="single"/>
        </w:rPr>
      </w:pPr>
      <w:r w:rsidRPr="003066E2">
        <w:rPr>
          <w:rFonts w:ascii="Cambria" w:eastAsia="Assistant" w:hAnsi="Cambria" w:cs="Assistant"/>
          <w:sz w:val="24"/>
          <w:szCs w:val="24"/>
        </w:rPr>
        <w:t>1</w:t>
      </w:r>
      <w:bookmarkStart w:id="7" w:name="xk3u436fiehc" w:colFirst="0" w:colLast="0"/>
      <w:bookmarkEnd w:id="7"/>
      <w:r w:rsidRPr="003066E2">
        <w:rPr>
          <w:rFonts w:ascii="Cambria" w:eastAsia="Assistant" w:hAnsi="Cambria" w:cs="Assistant"/>
          <w:sz w:val="24"/>
          <w:szCs w:val="24"/>
        </w:rPr>
        <w:t xml:space="preserve">.2.2 </w:t>
      </w:r>
      <w:r w:rsidRPr="003066E2">
        <w:rPr>
          <w:rFonts w:ascii="Cambria" w:eastAsia="Assistant" w:hAnsi="Cambria" w:cs="Assistant"/>
          <w:sz w:val="24"/>
          <w:szCs w:val="24"/>
          <w:u w:val="single"/>
        </w:rPr>
        <w:t>Generador de vapor nunca habilitado</w:t>
      </w:r>
    </w:p>
    <w:p w:rsidR="0001193B" w:rsidRPr="003066E2" w:rsidRDefault="00F7097B">
      <w:pPr>
        <w:pBdr>
          <w:top w:val="nil"/>
          <w:left w:val="nil"/>
          <w:bottom w:val="nil"/>
          <w:right w:val="nil"/>
          <w:between w:val="nil"/>
        </w:pBd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Es aquel </w:t>
      </w:r>
      <w:r w:rsidRPr="003066E2">
        <w:rPr>
          <w:rFonts w:ascii="Cambria" w:eastAsia="Assistant" w:hAnsi="Cambria" w:cs="Assistant"/>
          <w:i/>
          <w:sz w:val="24"/>
          <w:szCs w:val="24"/>
        </w:rPr>
        <w:t>generador de vapor</w:t>
      </w:r>
      <w:r w:rsidRPr="003066E2">
        <w:rPr>
          <w:rFonts w:ascii="Cambria" w:eastAsia="Assistant" w:hAnsi="Cambria" w:cs="Assistant"/>
          <w:sz w:val="24"/>
          <w:szCs w:val="24"/>
        </w:rPr>
        <w:t xml:space="preserve"> para el cual no se tienen registros de una habilitación previa. Se incluye el caso en que la última habilitación venció hace más de 5 años. Se considera que se trata de una infracción grave ante lo cual corresponde una multa por el monto equivalente </w:t>
      </w:r>
      <w:r w:rsidRPr="003066E2">
        <w:rPr>
          <w:rFonts w:ascii="Cambria" w:eastAsia="Assistant" w:hAnsi="Cambria" w:cs="Assistant"/>
          <w:sz w:val="24"/>
          <w:szCs w:val="24"/>
        </w:rPr>
        <w:lastRenderedPageBreak/>
        <w:t xml:space="preserve">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 </w:t>
      </w:r>
      <w:r w:rsidRPr="003066E2">
        <w:rPr>
          <w:rFonts w:ascii="Cambria" w:eastAsia="Assistant" w:hAnsi="Cambria" w:cs="Assistant"/>
          <w:b/>
          <w:sz w:val="24"/>
          <w:szCs w:val="24"/>
        </w:rPr>
        <w:t>factor de 4</w:t>
      </w:r>
      <w:r w:rsidRPr="003066E2">
        <w:rPr>
          <w:rFonts w:ascii="Cambria" w:eastAsia="Assistant" w:hAnsi="Cambria" w:cs="Assistant"/>
          <w:sz w:val="24"/>
          <w:szCs w:val="24"/>
        </w:rPr>
        <w:t xml:space="preserve">. En el caso de que se trate de un </w:t>
      </w:r>
      <w:r w:rsidRPr="003066E2">
        <w:rPr>
          <w:rFonts w:ascii="Cambria" w:eastAsia="Assistant" w:hAnsi="Cambria" w:cs="Assistant"/>
          <w:i/>
          <w:sz w:val="24"/>
          <w:szCs w:val="24"/>
        </w:rPr>
        <w:t>generador de vapor</w:t>
      </w:r>
      <w:r w:rsidRPr="003066E2">
        <w:rPr>
          <w:rFonts w:ascii="Cambria" w:eastAsia="Assistant" w:hAnsi="Cambria" w:cs="Assistant"/>
          <w:sz w:val="24"/>
          <w:szCs w:val="24"/>
        </w:rPr>
        <w:t xml:space="preserve"> “nuevo”, con no más de dos años de fabricación para el cual no se hayan realizado o presentado las pruebas, la sanción podrá disminuirse, siendo aplicada una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 </w:t>
      </w:r>
      <w:r w:rsidRPr="003066E2">
        <w:rPr>
          <w:rFonts w:ascii="Cambria" w:eastAsia="Assistant" w:hAnsi="Cambria" w:cs="Assistant"/>
          <w:b/>
          <w:sz w:val="24"/>
          <w:szCs w:val="24"/>
        </w:rPr>
        <w:t>factor de 2</w:t>
      </w:r>
      <w:r w:rsidRPr="003066E2">
        <w:rPr>
          <w:rFonts w:ascii="Cambria" w:eastAsia="Assistant" w:hAnsi="Cambria" w:cs="Assistant"/>
          <w:sz w:val="24"/>
          <w:szCs w:val="24"/>
        </w:rPr>
        <w:t>.</w:t>
      </w:r>
    </w:p>
    <w:p w:rsidR="0001193B" w:rsidRPr="003066E2" w:rsidRDefault="00F7097B">
      <w:pPr>
        <w:spacing w:after="100" w:line="240" w:lineRule="auto"/>
        <w:jc w:val="both"/>
        <w:rPr>
          <w:rFonts w:ascii="Cambria" w:eastAsia="Assistant" w:hAnsi="Cambria" w:cs="Assistant"/>
          <w:sz w:val="24"/>
          <w:szCs w:val="24"/>
          <w:u w:val="single"/>
        </w:rPr>
      </w:pPr>
      <w:r w:rsidRPr="003066E2">
        <w:rPr>
          <w:rFonts w:ascii="Cambria" w:eastAsia="Assistant" w:hAnsi="Cambria" w:cs="Assistant"/>
          <w:sz w:val="24"/>
          <w:szCs w:val="24"/>
        </w:rPr>
        <w:t>1</w:t>
      </w:r>
      <w:bookmarkStart w:id="8" w:name="yi3k9mjnhtkw" w:colFirst="0" w:colLast="0"/>
      <w:bookmarkEnd w:id="8"/>
      <w:r w:rsidRPr="003066E2">
        <w:rPr>
          <w:rFonts w:ascii="Cambria" w:eastAsia="Assistant" w:hAnsi="Cambria" w:cs="Assistant"/>
          <w:sz w:val="24"/>
          <w:szCs w:val="24"/>
        </w:rPr>
        <w:t xml:space="preserve">.2.3. </w:t>
      </w:r>
      <w:r w:rsidRPr="003066E2">
        <w:rPr>
          <w:rFonts w:ascii="Cambria" w:eastAsia="Assistant" w:hAnsi="Cambria" w:cs="Assistant"/>
          <w:sz w:val="24"/>
          <w:szCs w:val="24"/>
          <w:u w:val="single"/>
        </w:rPr>
        <w:t>Generador de Vapor que continúa operando, habiéndose resuelto su no habilitación</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Es aquel </w:t>
      </w:r>
      <w:r w:rsidRPr="003066E2">
        <w:rPr>
          <w:rFonts w:ascii="Cambria" w:eastAsia="Assistant" w:hAnsi="Cambria" w:cs="Assistant"/>
          <w:i/>
          <w:sz w:val="24"/>
          <w:szCs w:val="24"/>
        </w:rPr>
        <w:t>Generador de vapor</w:t>
      </w:r>
      <w:r w:rsidRPr="003066E2">
        <w:rPr>
          <w:rFonts w:ascii="Cambria" w:eastAsia="Assistant" w:hAnsi="Cambria" w:cs="Assistant"/>
          <w:sz w:val="24"/>
          <w:szCs w:val="24"/>
        </w:rPr>
        <w:t xml:space="preserve"> para el cual se resuelve por parte de la Ursea la no habilitación (de acuerdo a lo establecido en el artículo 166 del Reglamento de generadores de vapor) y continúa operando luego de notificado. No se incluyen en este punto los casos en que la habilitación haya cesado de forma automática (</w:t>
      </w:r>
      <w:hyperlink w:anchor="v7amytyklylu">
        <w:r w:rsidRPr="003066E2">
          <w:rPr>
            <w:rFonts w:ascii="Cambria" w:eastAsia="Assistant" w:hAnsi="Cambria" w:cs="Assistant"/>
            <w:sz w:val="24"/>
            <w:szCs w:val="24"/>
          </w:rPr>
          <w:t>punto 1.2.1</w:t>
        </w:r>
      </w:hyperlink>
      <w:r w:rsidRPr="003066E2">
        <w:rPr>
          <w:rFonts w:ascii="Cambria" w:eastAsia="Assistant" w:hAnsi="Cambria" w:cs="Assistant"/>
          <w:sz w:val="24"/>
          <w:szCs w:val="24"/>
        </w:rPr>
        <w:t xml:space="preserve">). </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Se considera que es una infracción grave, ante lo cual, la sanción correspondiente es una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 </w:t>
      </w:r>
      <w:r w:rsidRPr="003066E2">
        <w:rPr>
          <w:rFonts w:ascii="Cambria" w:eastAsia="Assistant" w:hAnsi="Cambria" w:cs="Assistant"/>
          <w:b/>
          <w:sz w:val="24"/>
          <w:szCs w:val="24"/>
        </w:rPr>
        <w:t>factor de 4</w:t>
      </w:r>
      <w:r w:rsidRPr="003066E2">
        <w:rPr>
          <w:rFonts w:ascii="Cambria" w:eastAsia="Assistant" w:hAnsi="Cambria" w:cs="Assistant"/>
          <w:sz w:val="24"/>
          <w:szCs w:val="24"/>
        </w:rPr>
        <w:t>.</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1</w:t>
      </w:r>
      <w:bookmarkStart w:id="9" w:name="ynvs3d6g1xp9" w:colFirst="0" w:colLast="0"/>
      <w:bookmarkEnd w:id="9"/>
      <w:r w:rsidRPr="003066E2">
        <w:rPr>
          <w:rFonts w:ascii="Cambria" w:eastAsia="Assistant" w:hAnsi="Cambria" w:cs="Assistant"/>
          <w:sz w:val="24"/>
          <w:szCs w:val="24"/>
        </w:rPr>
        <w:t xml:space="preserve">.2.4. </w:t>
      </w:r>
      <w:r w:rsidRPr="003066E2">
        <w:rPr>
          <w:rFonts w:ascii="Cambria" w:eastAsia="Assistant" w:hAnsi="Cambria" w:cs="Assistant"/>
          <w:sz w:val="24"/>
          <w:szCs w:val="24"/>
          <w:u w:val="single"/>
        </w:rPr>
        <w:t>Generador continúa operando habiéndose resuelto el cese de operación</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Es aquel </w:t>
      </w:r>
      <w:r w:rsidRPr="003066E2">
        <w:rPr>
          <w:rFonts w:ascii="Cambria" w:eastAsia="Assistant" w:hAnsi="Cambria" w:cs="Assistant"/>
          <w:i/>
          <w:sz w:val="24"/>
          <w:szCs w:val="24"/>
        </w:rPr>
        <w:t>Generador de vapor</w:t>
      </w:r>
      <w:r w:rsidRPr="003066E2">
        <w:rPr>
          <w:rFonts w:ascii="Cambria" w:eastAsia="Assistant" w:hAnsi="Cambria" w:cs="Assistant"/>
          <w:sz w:val="24"/>
          <w:szCs w:val="24"/>
        </w:rPr>
        <w:t xml:space="preserve"> para el cual se resuelve por parte de la Ursea el cese de operación (de acuerdo a lo establecido en los artículos 168 y 169 del Reglamento de generadores de vapor) y continúa operando luego de notificado. Esta es considerada la sanción de mayor gravedad, por lo que corresponde una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 </w:t>
      </w:r>
      <w:r w:rsidRPr="003066E2">
        <w:rPr>
          <w:rFonts w:ascii="Cambria" w:eastAsia="Assistant" w:hAnsi="Cambria" w:cs="Assistant"/>
          <w:b/>
          <w:sz w:val="24"/>
          <w:szCs w:val="24"/>
        </w:rPr>
        <w:t>factor de 10</w:t>
      </w:r>
      <w:r w:rsidRPr="003066E2">
        <w:rPr>
          <w:rFonts w:ascii="Cambria" w:eastAsia="Assistant" w:hAnsi="Cambria" w:cs="Assistant"/>
          <w:sz w:val="24"/>
          <w:szCs w:val="24"/>
        </w:rPr>
        <w:t>.</w:t>
      </w:r>
    </w:p>
    <w:p w:rsidR="0001193B" w:rsidRPr="003066E2" w:rsidRDefault="0001193B">
      <w:pPr>
        <w:spacing w:after="100" w:line="240" w:lineRule="auto"/>
        <w:jc w:val="both"/>
        <w:rPr>
          <w:rFonts w:ascii="Cambria" w:eastAsia="Assistant" w:hAnsi="Cambria" w:cs="Assistant"/>
          <w:sz w:val="24"/>
          <w:szCs w:val="24"/>
        </w:rPr>
      </w:pPr>
    </w:p>
    <w:p w:rsidR="0001193B" w:rsidRPr="003066E2" w:rsidRDefault="00F7097B">
      <w:pPr>
        <w:pStyle w:val="Heading3"/>
        <w:jc w:val="both"/>
        <w:rPr>
          <w:rFonts w:ascii="Cambria" w:hAnsi="Cambria"/>
          <w:b/>
          <w:sz w:val="24"/>
          <w:szCs w:val="24"/>
        </w:rPr>
      </w:pPr>
      <w:bookmarkStart w:id="10" w:name="_bxzyp2jfi1xs" w:colFirst="0" w:colLast="0"/>
      <w:bookmarkEnd w:id="10"/>
      <w:r w:rsidRPr="003066E2">
        <w:rPr>
          <w:rFonts w:ascii="Cambria" w:hAnsi="Cambria"/>
          <w:b/>
          <w:sz w:val="24"/>
          <w:szCs w:val="24"/>
        </w:rPr>
        <w:t>1.3 Obligación de realizar la Inspección anual</w:t>
      </w:r>
      <w:r w:rsidRPr="003066E2">
        <w:rPr>
          <w:rFonts w:ascii="Cambria" w:hAnsi="Cambria"/>
          <w:b/>
          <w:sz w:val="24"/>
          <w:szCs w:val="24"/>
          <w:vertAlign w:val="superscript"/>
        </w:rPr>
        <w:footnoteReference w:id="3"/>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El Reglamento de generadores de vapor establece los requisitos que deben cumplirse para la operativa, funcionamiento y actividades relacionadas a los generadores de vapor. </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En cuanto a la realización de Inspecciones anuales, el artículo 159 establece su periodicidad, basado en su categoría, asimismo en el artículo 137 se establece que debe realizarse el Test de Seguridad. El Anexo 2 establece entre otras cosas la periodicidad con la que debe realizarse la prueba de apertura y cierre de las </w:t>
      </w:r>
      <w:r w:rsidRPr="003066E2">
        <w:rPr>
          <w:rFonts w:ascii="Cambria" w:eastAsia="Assistant" w:hAnsi="Cambria" w:cs="Assistant"/>
          <w:i/>
          <w:sz w:val="24"/>
          <w:szCs w:val="24"/>
        </w:rPr>
        <w:t>válvulas de seguridad</w:t>
      </w:r>
      <w:r w:rsidRPr="003066E2">
        <w:rPr>
          <w:rFonts w:ascii="Cambria" w:eastAsia="Assistant" w:hAnsi="Cambria" w:cs="Assistant"/>
          <w:sz w:val="24"/>
          <w:szCs w:val="24"/>
        </w:rPr>
        <w:t>. En conclusión, para cada generador de vapor se define una fecha límite para la cual se debe realizar el test de seguridad.</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1.3.1. </w:t>
      </w:r>
      <w:r w:rsidRPr="003066E2">
        <w:rPr>
          <w:rFonts w:ascii="Cambria" w:eastAsia="Assistant" w:hAnsi="Cambria" w:cs="Assistant"/>
          <w:sz w:val="24"/>
          <w:szCs w:val="24"/>
          <w:u w:val="single"/>
        </w:rPr>
        <w:t>No realización de la inspección anual en el plazo establecido</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Corresponde a los casos que no se realice la inspección anual en el plazo establecido por reglamento y se verifique el </w:t>
      </w:r>
      <w:r w:rsidRPr="003066E2">
        <w:rPr>
          <w:rFonts w:ascii="Cambria" w:eastAsia="Assistant" w:hAnsi="Cambria" w:cs="Assistant"/>
          <w:i/>
          <w:sz w:val="24"/>
          <w:szCs w:val="24"/>
        </w:rPr>
        <w:t>Generador de vapor operativo</w:t>
      </w:r>
      <w:r w:rsidRPr="003066E2">
        <w:rPr>
          <w:rFonts w:ascii="Cambria" w:eastAsia="Assistant" w:hAnsi="Cambria" w:cs="Assistant"/>
          <w:sz w:val="24"/>
          <w:szCs w:val="24"/>
        </w:rPr>
        <w:t>.</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La infracción se considera leve, por lo que la sanción correspondiente es una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w:t>
      </w:r>
      <w:r w:rsidRPr="003066E2">
        <w:rPr>
          <w:rFonts w:ascii="Cambria" w:eastAsia="Assistant" w:hAnsi="Cambria" w:cs="Assistant"/>
          <w:b/>
          <w:sz w:val="24"/>
          <w:szCs w:val="24"/>
        </w:rPr>
        <w:t xml:space="preserve"> factor de 1</w:t>
      </w:r>
      <w:r w:rsidRPr="003066E2">
        <w:rPr>
          <w:rFonts w:ascii="Cambria" w:eastAsia="Assistant" w:hAnsi="Cambria" w:cs="Assistant"/>
          <w:sz w:val="24"/>
          <w:szCs w:val="24"/>
        </w:rPr>
        <w:t xml:space="preserve">. </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1.3.2. </w:t>
      </w:r>
      <w:r w:rsidRPr="003066E2">
        <w:rPr>
          <w:rFonts w:ascii="Cambria" w:eastAsia="Assistant" w:hAnsi="Cambria" w:cs="Assistant"/>
          <w:sz w:val="24"/>
          <w:szCs w:val="24"/>
          <w:u w:val="single"/>
        </w:rPr>
        <w:t>No realizar inspección anual</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Si durante el año que corresponde inspección anual ésta no es realizada (ni siquiera por fuera de los plazos mencionados en 1.3.1) se aplicará una sanción correspondiente a una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 </w:t>
      </w:r>
      <w:r w:rsidRPr="003066E2">
        <w:rPr>
          <w:rFonts w:ascii="Cambria" w:eastAsia="Assistant" w:hAnsi="Cambria" w:cs="Assistant"/>
          <w:b/>
          <w:sz w:val="24"/>
          <w:szCs w:val="24"/>
        </w:rPr>
        <w:t>factor de 2</w:t>
      </w:r>
      <w:r w:rsidRPr="003066E2">
        <w:rPr>
          <w:rFonts w:ascii="Cambria" w:eastAsia="Assistant" w:hAnsi="Cambria" w:cs="Assistant"/>
          <w:sz w:val="24"/>
          <w:szCs w:val="24"/>
        </w:rPr>
        <w:t xml:space="preserve">. </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Esta sanción no puede reducirse, y en caso que se cometa por segundo año consecutivo, además de volver a aplicar la sanción, se resolverá la no habilitación del </w:t>
      </w:r>
      <w:r w:rsidRPr="003066E2">
        <w:rPr>
          <w:rFonts w:ascii="Cambria" w:eastAsia="Assistant" w:hAnsi="Cambria" w:cs="Assistant"/>
          <w:i/>
          <w:sz w:val="24"/>
          <w:szCs w:val="24"/>
        </w:rPr>
        <w:t>Generador de vapor</w:t>
      </w:r>
      <w:r w:rsidRPr="003066E2">
        <w:rPr>
          <w:rFonts w:ascii="Cambria" w:eastAsia="Assistant" w:hAnsi="Cambria" w:cs="Assistant"/>
          <w:sz w:val="24"/>
          <w:szCs w:val="24"/>
        </w:rPr>
        <w:t>.</w:t>
      </w:r>
    </w:p>
    <w:p w:rsidR="0001193B" w:rsidRPr="003066E2" w:rsidRDefault="0001193B">
      <w:pPr>
        <w:spacing w:after="100" w:line="240" w:lineRule="auto"/>
        <w:jc w:val="both"/>
        <w:rPr>
          <w:rFonts w:ascii="Cambria" w:eastAsia="Assistant" w:hAnsi="Cambria" w:cs="Assistant"/>
          <w:sz w:val="24"/>
          <w:szCs w:val="24"/>
        </w:rPr>
      </w:pPr>
    </w:p>
    <w:p w:rsidR="0001193B" w:rsidRPr="003066E2" w:rsidRDefault="00F7097B">
      <w:pPr>
        <w:pStyle w:val="Heading3"/>
        <w:rPr>
          <w:rFonts w:ascii="Cambria" w:hAnsi="Cambria"/>
          <w:b/>
          <w:sz w:val="24"/>
          <w:szCs w:val="24"/>
        </w:rPr>
      </w:pPr>
      <w:bookmarkStart w:id="11" w:name="_x68kpz66nhcp" w:colFirst="0" w:colLast="0"/>
      <w:bookmarkEnd w:id="11"/>
      <w:r w:rsidRPr="003066E2">
        <w:rPr>
          <w:rFonts w:ascii="Cambria" w:hAnsi="Cambria"/>
          <w:b/>
          <w:sz w:val="24"/>
          <w:szCs w:val="24"/>
        </w:rPr>
        <w:t>1.4. No respetar condiciones de habilitación y/o de operación segura</w:t>
      </w:r>
      <w:r w:rsidRPr="003066E2">
        <w:rPr>
          <w:rFonts w:ascii="Cambria" w:hAnsi="Cambria"/>
          <w:b/>
          <w:sz w:val="24"/>
          <w:szCs w:val="24"/>
          <w:vertAlign w:val="superscript"/>
        </w:rPr>
        <w:footnoteReference w:id="4"/>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Es un tipo de sanción para infracciones genéricas a la reglamentación donde se verifica que la operación del generador de vapor se realiza fuera de las condiciones establecidas al momento de la habilitación y/o su puesta en servicio constituye un riesgo grave e inminente, como se establece en el artículo 169 del Reglamento de generadores de vapor. </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Se incluyen además de los generadores de vapor abarcados por el Reglamento de generadores de vapor, aquellos que no queden comprendidos en la reglamentación, de acuerdo a lo establecido por el artículo 3, pero que igualmente deben adoptar las medidas de seguridad adecuadas y oportunas en su instalación, funcionamiento y operación siguiendo buenas prácticas.</w:t>
      </w:r>
    </w:p>
    <w:p w:rsidR="0001193B" w:rsidRPr="003066E2" w:rsidRDefault="00F7097B">
      <w:pPr>
        <w:spacing w:after="100" w:line="240" w:lineRule="auto"/>
        <w:jc w:val="both"/>
        <w:rPr>
          <w:rFonts w:ascii="Cambria" w:eastAsia="Assistant" w:hAnsi="Cambria" w:cs="Assistant"/>
          <w:sz w:val="24"/>
          <w:szCs w:val="24"/>
          <w:u w:val="single"/>
        </w:rPr>
      </w:pPr>
      <w:r w:rsidRPr="003066E2">
        <w:rPr>
          <w:rFonts w:ascii="Cambria" w:eastAsia="Assistant" w:hAnsi="Cambria" w:cs="Assistant"/>
          <w:sz w:val="24"/>
          <w:szCs w:val="24"/>
        </w:rPr>
        <w:t xml:space="preserve">1.4.1 </w:t>
      </w:r>
      <w:r w:rsidRPr="003066E2">
        <w:rPr>
          <w:rFonts w:ascii="Cambria" w:eastAsia="Assistant" w:hAnsi="Cambria" w:cs="Assistant"/>
          <w:sz w:val="24"/>
          <w:szCs w:val="24"/>
          <w:u w:val="single"/>
        </w:rPr>
        <w:t>Generador de vapor operando fuera de condiciones de habilitación</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Es un </w:t>
      </w:r>
      <w:r w:rsidRPr="003066E2">
        <w:rPr>
          <w:rFonts w:ascii="Cambria" w:eastAsia="Assistant" w:hAnsi="Cambria" w:cs="Assistant"/>
          <w:i/>
          <w:sz w:val="24"/>
          <w:szCs w:val="24"/>
        </w:rPr>
        <w:t>generador de vapor operativo</w:t>
      </w:r>
      <w:r w:rsidRPr="003066E2">
        <w:rPr>
          <w:rFonts w:ascii="Cambria" w:eastAsia="Assistant" w:hAnsi="Cambria" w:cs="Assistant"/>
          <w:sz w:val="24"/>
          <w:szCs w:val="24"/>
        </w:rPr>
        <w:t xml:space="preserve"> que se encuentra habilitado con observaciones (que no representan un riesgo inminente). Estas pueden ser entre otras, la no corrección del funcionamiento de enclavamientos, la no realización de inspecciones internas, Ensayos No Destructivos (END) y/o similares expresamente solicitadas por la URSEA, la suspensión de la realización de tratamiento químico  del agua, entre otras situaciones.</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La infracción se considera importante pero no implica requerir un cese de operación, sino únicamente una sanción correspondiente a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 </w:t>
      </w:r>
      <w:r w:rsidRPr="003066E2">
        <w:rPr>
          <w:rFonts w:ascii="Cambria" w:eastAsia="Assistant" w:hAnsi="Cambria" w:cs="Assistant"/>
          <w:b/>
          <w:sz w:val="24"/>
          <w:szCs w:val="24"/>
        </w:rPr>
        <w:t>factor de 2</w:t>
      </w:r>
      <w:r w:rsidRPr="003066E2">
        <w:rPr>
          <w:rFonts w:ascii="Cambria" w:eastAsia="Assistant" w:hAnsi="Cambria" w:cs="Assistant"/>
          <w:sz w:val="24"/>
          <w:szCs w:val="24"/>
        </w:rPr>
        <w:t xml:space="preserve">. </w:t>
      </w:r>
    </w:p>
    <w:p w:rsidR="00353C97" w:rsidRPr="003066E2" w:rsidRDefault="00353C97">
      <w:pPr>
        <w:spacing w:after="100" w:line="240" w:lineRule="auto"/>
        <w:jc w:val="both"/>
        <w:rPr>
          <w:rFonts w:ascii="Cambria" w:eastAsia="Assistant" w:hAnsi="Cambria" w:cs="Assistant"/>
          <w:sz w:val="24"/>
          <w:szCs w:val="24"/>
          <w:highlight w:val="yellow"/>
          <w:u w:val="single"/>
        </w:rPr>
      </w:pPr>
    </w:p>
    <w:p w:rsidR="0001193B" w:rsidRPr="003066E2" w:rsidRDefault="00F7097B">
      <w:pPr>
        <w:spacing w:after="100" w:line="240" w:lineRule="auto"/>
        <w:jc w:val="both"/>
        <w:rPr>
          <w:rFonts w:ascii="Cambria" w:eastAsia="Assistant" w:hAnsi="Cambria" w:cs="Assistant"/>
          <w:sz w:val="24"/>
          <w:szCs w:val="24"/>
          <w:u w:val="single"/>
        </w:rPr>
      </w:pPr>
      <w:r w:rsidRPr="003066E2">
        <w:rPr>
          <w:rFonts w:ascii="Cambria" w:eastAsia="Assistant" w:hAnsi="Cambria" w:cs="Assistant"/>
          <w:sz w:val="24"/>
          <w:szCs w:val="24"/>
        </w:rPr>
        <w:t xml:space="preserve">1.4.2 </w:t>
      </w:r>
      <w:r w:rsidRPr="003066E2">
        <w:rPr>
          <w:rFonts w:ascii="Cambria" w:eastAsia="Assistant" w:hAnsi="Cambria" w:cs="Assistant"/>
          <w:sz w:val="24"/>
          <w:szCs w:val="24"/>
          <w:u w:val="single"/>
        </w:rPr>
        <w:t>Generador de vapor operando de forma insegura [Riesgo inminente]</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Estos casos se dan cuando el </w:t>
      </w:r>
      <w:r w:rsidRPr="003066E2">
        <w:rPr>
          <w:rFonts w:ascii="Cambria" w:eastAsia="Assistant" w:hAnsi="Cambria" w:cs="Assistant"/>
          <w:i/>
          <w:sz w:val="24"/>
          <w:szCs w:val="24"/>
        </w:rPr>
        <w:t>Generador de vapor</w:t>
      </w:r>
      <w:r w:rsidRPr="003066E2">
        <w:rPr>
          <w:rFonts w:ascii="Cambria" w:eastAsia="Assistant" w:hAnsi="Cambria" w:cs="Assistant"/>
          <w:sz w:val="24"/>
          <w:szCs w:val="24"/>
        </w:rPr>
        <w:t xml:space="preserve"> se encuentre en servicio fuera de la condición normal de operación, sin respetar lo establecido en el </w:t>
      </w:r>
      <w:r w:rsidRPr="003066E2">
        <w:rPr>
          <w:rFonts w:ascii="Cambria" w:eastAsia="Assistant" w:hAnsi="Cambria" w:cs="Assistant"/>
          <w:i/>
          <w:sz w:val="24"/>
          <w:szCs w:val="24"/>
        </w:rPr>
        <w:t>manual de operación y mantenimiento</w:t>
      </w:r>
      <w:r w:rsidRPr="003066E2">
        <w:rPr>
          <w:rFonts w:ascii="Cambria" w:eastAsia="Assistant" w:hAnsi="Cambria" w:cs="Assistant"/>
          <w:sz w:val="24"/>
          <w:szCs w:val="24"/>
        </w:rPr>
        <w:t xml:space="preserve">, o ante el mal funcionamiento, la derivación y/o la ausencia de instrumentos de medición, control y/o enclavamientos, que pongan en peligro la confiabilidad, seguridad operacional o integridad del equipo, de los trabajadores y/o de las instalaciones del centro de trabajo y entorno.  Se incluye también la no presencia de </w:t>
      </w:r>
      <w:r w:rsidRPr="003066E2">
        <w:rPr>
          <w:rFonts w:ascii="Cambria" w:eastAsia="Assistant" w:hAnsi="Cambria" w:cs="Assistant"/>
          <w:i/>
          <w:sz w:val="24"/>
          <w:szCs w:val="24"/>
        </w:rPr>
        <w:t xml:space="preserve">foguista </w:t>
      </w:r>
      <w:r w:rsidRPr="003066E2">
        <w:rPr>
          <w:rFonts w:ascii="Cambria" w:eastAsia="Assistant" w:hAnsi="Cambria" w:cs="Assistant"/>
          <w:sz w:val="24"/>
          <w:szCs w:val="24"/>
        </w:rPr>
        <w:t xml:space="preserve">cuando el </w:t>
      </w:r>
      <w:r w:rsidRPr="003066E2">
        <w:rPr>
          <w:rFonts w:ascii="Cambria" w:eastAsia="Assistant" w:hAnsi="Cambria" w:cs="Assistant"/>
          <w:i/>
          <w:sz w:val="24"/>
          <w:szCs w:val="24"/>
        </w:rPr>
        <w:t>generador de vapor</w:t>
      </w:r>
      <w:r w:rsidRPr="003066E2">
        <w:rPr>
          <w:rFonts w:ascii="Cambria" w:eastAsia="Assistant" w:hAnsi="Cambria" w:cs="Assistant"/>
          <w:sz w:val="24"/>
          <w:szCs w:val="24"/>
        </w:rPr>
        <w:t xml:space="preserve"> está en servicio.</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La infracción se considera grave, ante lo cual la sanción correspondiente es una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 </w:t>
      </w:r>
      <w:r w:rsidRPr="003066E2">
        <w:rPr>
          <w:rFonts w:ascii="Cambria" w:eastAsia="Assistant" w:hAnsi="Cambria" w:cs="Assistant"/>
          <w:b/>
          <w:sz w:val="24"/>
          <w:szCs w:val="24"/>
        </w:rPr>
        <w:t>factor de 4</w:t>
      </w:r>
      <w:r w:rsidRPr="003066E2">
        <w:rPr>
          <w:rFonts w:ascii="Cambria" w:eastAsia="Assistant" w:hAnsi="Cambria" w:cs="Assistant"/>
          <w:sz w:val="24"/>
          <w:szCs w:val="24"/>
        </w:rPr>
        <w:t xml:space="preserve">. </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Asimismo, pueden conllevar el cese de operación y/o la resolución de no habilitación, según la gravedad de los hechos o las circunstancias del caso.</w:t>
      </w:r>
    </w:p>
    <w:p w:rsidR="0001193B" w:rsidRPr="003066E2" w:rsidRDefault="0001193B">
      <w:pPr>
        <w:spacing w:after="100" w:line="240" w:lineRule="auto"/>
        <w:jc w:val="both"/>
        <w:rPr>
          <w:rFonts w:ascii="Cambria" w:eastAsia="Assistant" w:hAnsi="Cambria" w:cs="Assistant"/>
          <w:sz w:val="24"/>
          <w:szCs w:val="24"/>
        </w:rPr>
      </w:pPr>
    </w:p>
    <w:p w:rsidR="0001193B" w:rsidRPr="003066E2" w:rsidRDefault="00F7097B">
      <w:pPr>
        <w:pStyle w:val="Heading2"/>
        <w:spacing w:after="100" w:line="240" w:lineRule="auto"/>
        <w:jc w:val="left"/>
        <w:rPr>
          <w:rFonts w:ascii="Cambria" w:hAnsi="Cambria"/>
          <w:sz w:val="24"/>
          <w:szCs w:val="24"/>
        </w:rPr>
      </w:pPr>
      <w:bookmarkStart w:id="12" w:name="_j2g0swl6rygw" w:colFirst="0" w:colLast="0"/>
      <w:bookmarkEnd w:id="12"/>
      <w:r w:rsidRPr="003066E2">
        <w:rPr>
          <w:rFonts w:ascii="Cambria" w:hAnsi="Cambria"/>
          <w:sz w:val="24"/>
          <w:szCs w:val="24"/>
        </w:rPr>
        <w:t>2. Infracciones relativas a Propietarios y Agentes Vinculados</w:t>
      </w:r>
    </w:p>
    <w:p w:rsidR="00353C97" w:rsidRPr="003066E2" w:rsidRDefault="00353C97" w:rsidP="00353C97">
      <w:pPr>
        <w:rPr>
          <w:sz w:val="24"/>
          <w:szCs w:val="24"/>
        </w:rPr>
      </w:pPr>
    </w:p>
    <w:p w:rsidR="0001193B" w:rsidRPr="003066E2" w:rsidRDefault="00F7097B">
      <w:pPr>
        <w:pStyle w:val="Heading3"/>
        <w:rPr>
          <w:rFonts w:ascii="Cambria" w:hAnsi="Cambria"/>
          <w:b/>
          <w:sz w:val="24"/>
          <w:szCs w:val="24"/>
        </w:rPr>
      </w:pPr>
      <w:bookmarkStart w:id="13" w:name="_k2v6mindsso3" w:colFirst="0" w:colLast="0"/>
      <w:bookmarkEnd w:id="13"/>
      <w:r w:rsidRPr="003066E2">
        <w:rPr>
          <w:rFonts w:ascii="Cambria" w:hAnsi="Cambria"/>
          <w:b/>
          <w:sz w:val="24"/>
          <w:szCs w:val="24"/>
        </w:rPr>
        <w:t>2.1 Obligación de registro y cumplimiento de requerimientos de Propietario y Agentes Vinculados</w:t>
      </w:r>
      <w:r w:rsidRPr="003066E2">
        <w:rPr>
          <w:rFonts w:ascii="Cambria" w:hAnsi="Cambria"/>
          <w:b/>
          <w:sz w:val="24"/>
          <w:szCs w:val="24"/>
          <w:vertAlign w:val="superscript"/>
        </w:rPr>
        <w:footnoteReference w:id="5"/>
      </w:r>
    </w:p>
    <w:p w:rsidR="0001193B" w:rsidRPr="003066E2" w:rsidRDefault="00F7097B">
      <w:pPr>
        <w:spacing w:after="100" w:line="240" w:lineRule="auto"/>
        <w:jc w:val="both"/>
        <w:rPr>
          <w:rFonts w:ascii="Cambria" w:eastAsia="Assistant" w:hAnsi="Cambria" w:cs="Assistant"/>
          <w:color w:val="FF0000"/>
          <w:sz w:val="24"/>
          <w:szCs w:val="24"/>
        </w:rPr>
      </w:pPr>
      <w:r w:rsidRPr="003066E2">
        <w:rPr>
          <w:rFonts w:ascii="Cambria" w:eastAsia="Assistant" w:hAnsi="Cambria" w:cs="Assistant"/>
          <w:sz w:val="24"/>
          <w:szCs w:val="24"/>
        </w:rPr>
        <w:t>Se deben registrar empresas Propietarias de generadores de vapor y Agentes Vinculados dedicados a la fabricación o importación, reparación, modificación (alteración), tratamiento químico de agua y evaluación de generadores de vapor (profesionales idóneos), previendo las condiciones que deben cumplir para inscribirse y realizar la actividad. En el anexo 7 del Reglamento de generadores de vapor se establecen categorías donde se deben registrar los Agentes Vinculados y los requerimientos para esto. Asimismo, el Propietario está obligado a realizar las actividades con Agentes Vinculados que se encuentren debidamente registrados en la Ursea.</w:t>
      </w:r>
    </w:p>
    <w:p w:rsidR="0001193B" w:rsidRPr="003066E2" w:rsidRDefault="00F7097B">
      <w:pPr>
        <w:spacing w:after="100" w:line="240" w:lineRule="auto"/>
        <w:jc w:val="both"/>
        <w:rPr>
          <w:rFonts w:ascii="Cambria" w:eastAsia="Assistant" w:hAnsi="Cambria" w:cs="Assistant"/>
          <w:color w:val="FF0000"/>
          <w:sz w:val="24"/>
          <w:szCs w:val="24"/>
          <w:u w:val="single"/>
        </w:rPr>
      </w:pPr>
      <w:bookmarkStart w:id="14" w:name="jweblhjq5g9l" w:colFirst="0" w:colLast="0"/>
      <w:bookmarkEnd w:id="14"/>
      <w:r w:rsidRPr="003066E2">
        <w:rPr>
          <w:rFonts w:ascii="Cambria" w:eastAsia="Assistant" w:hAnsi="Cambria" w:cs="Assistant"/>
          <w:sz w:val="24"/>
          <w:szCs w:val="24"/>
        </w:rPr>
        <w:t xml:space="preserve">2.1.1 </w:t>
      </w:r>
      <w:r w:rsidRPr="003066E2">
        <w:rPr>
          <w:rFonts w:ascii="Cambria" w:eastAsia="Assistant" w:hAnsi="Cambria" w:cs="Assistant"/>
          <w:sz w:val="24"/>
          <w:szCs w:val="24"/>
          <w:u w:val="single"/>
        </w:rPr>
        <w:t>Propietario o Agentes Vinculados realizando actividades sin encontrarse registrado</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Son los casos en que los propietarios que disponen de generadores de vapor operativos sin haberse registrado ante la Ursea y de aquellos Agentes Vinculados que presten servicio sin encontrarse registrados ante la Ursea.</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La sanción correspondiente al Propietario y/o al Agente Vinculado es una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 </w:t>
      </w:r>
      <w:r w:rsidRPr="003066E2">
        <w:rPr>
          <w:rFonts w:ascii="Cambria" w:eastAsia="Assistant" w:hAnsi="Cambria" w:cs="Assistant"/>
          <w:b/>
          <w:sz w:val="24"/>
          <w:szCs w:val="24"/>
        </w:rPr>
        <w:t>factor de 2</w:t>
      </w:r>
      <w:r w:rsidRPr="003066E2">
        <w:rPr>
          <w:rFonts w:ascii="Cambria" w:eastAsia="Assistant" w:hAnsi="Cambria" w:cs="Assistant"/>
          <w:sz w:val="24"/>
          <w:szCs w:val="24"/>
        </w:rPr>
        <w:t xml:space="preserve">.  </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Sin perjuicio de lo anterior, se deberá evaluar si el agente cumple con los requisitos establecidos para la actividad que se encuentra realizando, pudiendo aplicar también la infracción relativa al </w:t>
      </w:r>
      <w:hyperlink w:anchor="9lfg2bx5zpnr">
        <w:r w:rsidRPr="003066E2">
          <w:rPr>
            <w:rFonts w:ascii="Cambria" w:eastAsia="Assistant" w:hAnsi="Cambria" w:cs="Assistant"/>
            <w:sz w:val="24"/>
            <w:szCs w:val="24"/>
          </w:rPr>
          <w:t>punto 2.1.2</w:t>
        </w:r>
      </w:hyperlink>
      <w:r w:rsidRPr="003066E2">
        <w:rPr>
          <w:rFonts w:ascii="Cambria" w:eastAsia="Assistant" w:hAnsi="Cambria" w:cs="Assistant"/>
          <w:sz w:val="24"/>
          <w:szCs w:val="24"/>
        </w:rPr>
        <w:t xml:space="preserve"> y la resolución de cese de operación o no habilitación del generador de vapor involucrado dependiendo de la intervención realizada.</w:t>
      </w:r>
    </w:p>
    <w:p w:rsidR="0001193B" w:rsidRPr="003066E2" w:rsidRDefault="00F7097B">
      <w:pPr>
        <w:spacing w:after="100" w:line="240" w:lineRule="auto"/>
        <w:jc w:val="both"/>
        <w:rPr>
          <w:rFonts w:ascii="Cambria" w:eastAsia="Assistant" w:hAnsi="Cambria" w:cs="Assistant"/>
          <w:sz w:val="24"/>
          <w:szCs w:val="24"/>
          <w:u w:val="single"/>
        </w:rPr>
      </w:pPr>
      <w:r w:rsidRPr="003066E2">
        <w:rPr>
          <w:rFonts w:ascii="Cambria" w:eastAsia="Assistant" w:hAnsi="Cambria" w:cs="Assistant"/>
          <w:sz w:val="24"/>
          <w:szCs w:val="24"/>
        </w:rPr>
        <w:t>2</w:t>
      </w:r>
      <w:bookmarkStart w:id="15" w:name="9lfg2bx5zpnr" w:colFirst="0" w:colLast="0"/>
      <w:bookmarkEnd w:id="15"/>
      <w:r w:rsidRPr="003066E2">
        <w:rPr>
          <w:rFonts w:ascii="Cambria" w:eastAsia="Assistant" w:hAnsi="Cambria" w:cs="Assistant"/>
          <w:sz w:val="24"/>
          <w:szCs w:val="24"/>
        </w:rPr>
        <w:t xml:space="preserve">.1.2 </w:t>
      </w:r>
      <w:r w:rsidRPr="003066E2">
        <w:rPr>
          <w:rFonts w:ascii="Cambria" w:eastAsia="Assistant" w:hAnsi="Cambria" w:cs="Assistant"/>
          <w:sz w:val="24"/>
          <w:szCs w:val="24"/>
          <w:u w:val="single"/>
        </w:rPr>
        <w:t>Agentes Vinculados realizando actividades sin cumplir los requerimientos para la categoría</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En los casos que el Agente Vinculado realice actividades sin cumplir con los requerimientos establecidos en la categoría, por ejemplo, realizar reparaciones sin contar con los procedimientos necesarios (WPS, WPQ, PQR y END), realizar tratamiento químico del agua sin contar con técnico responsable que cumpla los requisitos de formación establecidos, entre otros. </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La infracción se considera grave, ante lo cual se aplicará al Agente Vinculado una sanción de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 </w:t>
      </w:r>
      <w:r w:rsidRPr="003066E2">
        <w:rPr>
          <w:rFonts w:ascii="Cambria" w:eastAsia="Assistant" w:hAnsi="Cambria" w:cs="Assistant"/>
          <w:b/>
          <w:sz w:val="24"/>
          <w:szCs w:val="24"/>
        </w:rPr>
        <w:t>factor de 3</w:t>
      </w:r>
      <w:r w:rsidRPr="003066E2">
        <w:rPr>
          <w:rFonts w:ascii="Cambria" w:eastAsia="Assistant" w:hAnsi="Cambria" w:cs="Assistant"/>
          <w:sz w:val="24"/>
          <w:szCs w:val="24"/>
        </w:rPr>
        <w:t xml:space="preserve">. En los casos que los trabajos impliquen reparaciones sobre el cuerpo de presión (de cualquier tipo) y/o alteraciones la infracción se considera de mayor gravedad, ante lo cual la sanción será una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 </w:t>
      </w:r>
      <w:r w:rsidRPr="003066E2">
        <w:rPr>
          <w:rFonts w:ascii="Cambria" w:eastAsia="Assistant" w:hAnsi="Cambria" w:cs="Assistant"/>
          <w:b/>
          <w:sz w:val="24"/>
          <w:szCs w:val="24"/>
        </w:rPr>
        <w:t>factor de 6</w:t>
      </w:r>
      <w:r w:rsidRPr="003066E2">
        <w:rPr>
          <w:rFonts w:ascii="Cambria" w:eastAsia="Assistant" w:hAnsi="Cambria" w:cs="Assistant"/>
          <w:sz w:val="24"/>
          <w:szCs w:val="24"/>
        </w:rPr>
        <w:t>.</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En estos casos es evaluable la resolución de cese de operación o no habilitación del generador de vapor involucrado dependiendo de la intervención realizada por el Agente Vinculado y su validez. Asimismo, se podrá evaluar la suspensión o eliminación del agente de su categoría en el registro de Agentes Vinculados</w:t>
      </w:r>
    </w:p>
    <w:p w:rsidR="0001193B" w:rsidRPr="003066E2" w:rsidRDefault="00F7097B">
      <w:pPr>
        <w:spacing w:after="100" w:line="240" w:lineRule="auto"/>
        <w:jc w:val="both"/>
        <w:rPr>
          <w:rFonts w:ascii="Cambria" w:eastAsia="Assistant" w:hAnsi="Cambria" w:cs="Assistant"/>
          <w:color w:val="FF0000"/>
          <w:sz w:val="24"/>
          <w:szCs w:val="24"/>
          <w:u w:val="single"/>
        </w:rPr>
      </w:pPr>
      <w:r w:rsidRPr="003066E2">
        <w:rPr>
          <w:rFonts w:ascii="Cambria" w:eastAsia="Assistant" w:hAnsi="Cambria" w:cs="Assistant"/>
          <w:sz w:val="24"/>
          <w:szCs w:val="24"/>
        </w:rPr>
        <w:t xml:space="preserve">2.1.3 </w:t>
      </w:r>
      <w:r w:rsidRPr="003066E2">
        <w:rPr>
          <w:rFonts w:ascii="Cambria" w:eastAsia="Assistant" w:hAnsi="Cambria" w:cs="Assistant"/>
          <w:sz w:val="24"/>
          <w:szCs w:val="24"/>
          <w:u w:val="single"/>
        </w:rPr>
        <w:t>Propietario realizando actividades con Agente Vinculado no registrado</w:t>
      </w:r>
    </w:p>
    <w:p w:rsidR="0001193B" w:rsidRPr="003066E2" w:rsidRDefault="00F7097B">
      <w:pPr>
        <w:spacing w:after="100" w:line="240" w:lineRule="auto"/>
        <w:rPr>
          <w:rFonts w:ascii="Cambria" w:eastAsia="Assistant" w:hAnsi="Cambria" w:cs="Assistant"/>
          <w:sz w:val="24"/>
          <w:szCs w:val="24"/>
        </w:rPr>
      </w:pPr>
      <w:r w:rsidRPr="003066E2">
        <w:rPr>
          <w:rFonts w:ascii="Cambria" w:eastAsia="Assistant" w:hAnsi="Cambria" w:cs="Assistant"/>
          <w:sz w:val="24"/>
          <w:szCs w:val="24"/>
        </w:rPr>
        <w:t>Casos donde el propietario realice actividades designando para éstas Agentes Vinculados que no se encuentran registrados ante la Ursea en la categoría correspondiente.</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La sanción correspondiente para el Propietario es una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 </w:t>
      </w:r>
      <w:r w:rsidRPr="003066E2">
        <w:rPr>
          <w:rFonts w:ascii="Cambria" w:eastAsia="Assistant" w:hAnsi="Cambria" w:cs="Assistant"/>
          <w:b/>
          <w:sz w:val="24"/>
          <w:szCs w:val="24"/>
        </w:rPr>
        <w:t>factor de 2</w:t>
      </w:r>
      <w:r w:rsidRPr="003066E2">
        <w:rPr>
          <w:rFonts w:ascii="Cambria" w:eastAsia="Assistant" w:hAnsi="Cambria" w:cs="Assistant"/>
          <w:sz w:val="24"/>
          <w:szCs w:val="24"/>
        </w:rPr>
        <w:t xml:space="preserve">. </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Sin perjuicio de lo anterior, al Agente Vinculado le corresponderá la aplicación de sanciones de acuerdo a los puntos </w:t>
      </w:r>
      <w:hyperlink w:anchor="jweblhjq5g9l">
        <w:r w:rsidRPr="003066E2">
          <w:rPr>
            <w:rFonts w:ascii="Cambria" w:eastAsia="Assistant" w:hAnsi="Cambria" w:cs="Assistant"/>
            <w:sz w:val="24"/>
            <w:szCs w:val="24"/>
          </w:rPr>
          <w:t>punto 2.1.1</w:t>
        </w:r>
      </w:hyperlink>
      <w:r w:rsidRPr="003066E2">
        <w:rPr>
          <w:rFonts w:ascii="Cambria" w:eastAsia="Assistant" w:hAnsi="Cambria" w:cs="Assistant"/>
          <w:sz w:val="24"/>
          <w:szCs w:val="24"/>
        </w:rPr>
        <w:t xml:space="preserve"> y </w:t>
      </w:r>
      <w:hyperlink w:anchor="9lfg2bx5zpnr">
        <w:r w:rsidRPr="003066E2">
          <w:rPr>
            <w:rFonts w:ascii="Cambria" w:eastAsia="Assistant" w:hAnsi="Cambria" w:cs="Assistant"/>
            <w:sz w:val="24"/>
            <w:szCs w:val="24"/>
          </w:rPr>
          <w:t>punto 2.1.2</w:t>
        </w:r>
      </w:hyperlink>
      <w:r w:rsidRPr="003066E2">
        <w:rPr>
          <w:rFonts w:ascii="Cambria" w:eastAsia="Assistant" w:hAnsi="Cambria" w:cs="Assistant"/>
          <w:sz w:val="24"/>
          <w:szCs w:val="24"/>
        </w:rPr>
        <w:t xml:space="preserve"> según corresponda y pueden conllevar el cese de operación y/o la resolución de no habilitación del generador de vapor involucrado, según la gravedad de los hechos o las circunstancias del caso.</w:t>
      </w:r>
    </w:p>
    <w:p w:rsidR="0001193B" w:rsidRPr="003066E2" w:rsidRDefault="0001193B">
      <w:pPr>
        <w:spacing w:after="100" w:line="240" w:lineRule="auto"/>
        <w:jc w:val="both"/>
        <w:rPr>
          <w:rFonts w:ascii="Cambria" w:eastAsia="Assistant" w:hAnsi="Cambria" w:cs="Assistant"/>
          <w:sz w:val="24"/>
          <w:szCs w:val="24"/>
        </w:rPr>
      </w:pPr>
    </w:p>
    <w:p w:rsidR="0001193B" w:rsidRPr="003066E2" w:rsidRDefault="00F7097B">
      <w:pPr>
        <w:pStyle w:val="Heading3"/>
        <w:rPr>
          <w:rFonts w:ascii="Cambria" w:hAnsi="Cambria"/>
          <w:b/>
          <w:sz w:val="24"/>
          <w:szCs w:val="24"/>
        </w:rPr>
      </w:pPr>
      <w:bookmarkStart w:id="16" w:name="_9yaly8m1zhlt" w:colFirst="0" w:colLast="0"/>
      <w:bookmarkEnd w:id="16"/>
      <w:r w:rsidRPr="003066E2">
        <w:rPr>
          <w:rFonts w:ascii="Cambria" w:hAnsi="Cambria"/>
          <w:b/>
          <w:sz w:val="24"/>
          <w:szCs w:val="24"/>
        </w:rPr>
        <w:t>2.2. Discordancias, Errores u omisiones cometidos por el Propietario o Agente Vinculados</w:t>
      </w:r>
      <w:r w:rsidRPr="003066E2">
        <w:rPr>
          <w:rFonts w:ascii="Cambria" w:hAnsi="Cambria"/>
          <w:b/>
          <w:sz w:val="24"/>
          <w:szCs w:val="24"/>
          <w:vertAlign w:val="superscript"/>
        </w:rPr>
        <w:footnoteReference w:id="6"/>
      </w:r>
    </w:p>
    <w:p w:rsidR="0001193B" w:rsidRPr="003066E2" w:rsidRDefault="00F7097B">
      <w:pPr>
        <w:pBdr>
          <w:top w:val="nil"/>
          <w:left w:val="nil"/>
          <w:bottom w:val="nil"/>
          <w:right w:val="nil"/>
          <w:between w:val="nil"/>
        </w:pBd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El Reglamento de generadores de vapor establece obligaciones a Propietario y Agentes Vinculados vinculadas a la presentación de documentación e informes. En el caso de Propietarios vinculadas, por ejemplo, a Reporte de Datos y Proyecto de Instalación, descripción de incidentes, situación de generador de vapor (en cuanto a registro, reubicación, venta, baja de servicio, etc.), mientras que en el caso de Agentes Vinculados, se relacionan con informar condiciones de riesgo de operación, resultados de inspecciones, intervenciones, estudio de integridad, tratamiento químico del agua, alteraciones y reparaciones entre otras.</w:t>
      </w:r>
    </w:p>
    <w:p w:rsidR="0001193B" w:rsidRPr="003066E2" w:rsidRDefault="00F7097B">
      <w:pPr>
        <w:spacing w:after="100" w:line="240" w:lineRule="auto"/>
        <w:jc w:val="both"/>
        <w:rPr>
          <w:rFonts w:ascii="Cambria" w:eastAsia="Assistant" w:hAnsi="Cambria" w:cs="Assistant"/>
          <w:color w:val="FF0000"/>
          <w:sz w:val="24"/>
          <w:szCs w:val="24"/>
        </w:rPr>
      </w:pPr>
      <w:r w:rsidRPr="003066E2">
        <w:rPr>
          <w:rFonts w:ascii="Cambria" w:eastAsia="Assistant" w:hAnsi="Cambria" w:cs="Assistant"/>
          <w:sz w:val="24"/>
          <w:szCs w:val="24"/>
        </w:rPr>
        <w:t xml:space="preserve">2.2.1 </w:t>
      </w:r>
      <w:r w:rsidRPr="003066E2">
        <w:rPr>
          <w:rFonts w:ascii="Cambria" w:eastAsia="Assistant" w:hAnsi="Cambria" w:cs="Assistant"/>
          <w:sz w:val="24"/>
          <w:szCs w:val="24"/>
          <w:u w:val="single"/>
        </w:rPr>
        <w:t>Discordancias y Errores cometidos por parte del Propietario o Agente Vinculados</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Son casos en que la información y/o documentación que es entregada en la Ursea no es aceptada debido a las discordancias y/o errores presentes, siendo solicitado presentar nuevamente la documentación de forma parcial o total, la realización de nuevos informes o estudios, entre otras medidas. Casos más graves pueden implicar el rechazo de una declaración jurada o de informes relativos a reparaciones sobre el cuerpo de presión (de cualquier tipo) y/o alteraciones, entre otras acciones.</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La sanción correspondiente al Propietario y al Agente Vinculado es una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 </w:t>
      </w:r>
      <w:r w:rsidRPr="003066E2">
        <w:rPr>
          <w:rFonts w:ascii="Cambria" w:eastAsia="Assistant" w:hAnsi="Cambria" w:cs="Assistant"/>
          <w:b/>
          <w:sz w:val="24"/>
          <w:szCs w:val="24"/>
        </w:rPr>
        <w:t>factor de 1</w:t>
      </w:r>
      <w:r w:rsidRPr="003066E2">
        <w:rPr>
          <w:rFonts w:ascii="Cambria" w:eastAsia="Assistant" w:hAnsi="Cambria" w:cs="Assistant"/>
          <w:sz w:val="24"/>
          <w:szCs w:val="24"/>
        </w:rPr>
        <w:t xml:space="preserve"> y  multiplicado por un </w:t>
      </w:r>
      <w:r w:rsidRPr="003066E2">
        <w:rPr>
          <w:rFonts w:ascii="Cambria" w:eastAsia="Assistant" w:hAnsi="Cambria" w:cs="Assistant"/>
          <w:b/>
          <w:sz w:val="24"/>
          <w:szCs w:val="24"/>
        </w:rPr>
        <w:t>factor de 3</w:t>
      </w:r>
      <w:r w:rsidRPr="003066E2">
        <w:rPr>
          <w:rFonts w:ascii="Cambria" w:eastAsia="Assistant" w:hAnsi="Cambria" w:cs="Assistant"/>
          <w:sz w:val="24"/>
          <w:szCs w:val="24"/>
        </w:rPr>
        <w:t xml:space="preserve"> para casos graves.</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En estos casos se podrá evaluar si las discordancias y errores presentados implican la necesidad de resolver el cese de operación y/o la resolución de no habilitación del </w:t>
      </w:r>
      <w:r w:rsidRPr="003066E2">
        <w:rPr>
          <w:rFonts w:ascii="Cambria" w:eastAsia="Assistant" w:hAnsi="Cambria" w:cs="Assistant"/>
          <w:i/>
          <w:sz w:val="24"/>
          <w:szCs w:val="24"/>
        </w:rPr>
        <w:t>generador de vapor</w:t>
      </w:r>
      <w:r w:rsidRPr="003066E2">
        <w:rPr>
          <w:rFonts w:ascii="Cambria" w:eastAsia="Assistant" w:hAnsi="Cambria" w:cs="Assistant"/>
          <w:sz w:val="24"/>
          <w:szCs w:val="24"/>
        </w:rPr>
        <w:t xml:space="preserve"> involucrado, según la gravedad de los hechos o las circunstancias del caso.</w:t>
      </w:r>
    </w:p>
    <w:p w:rsidR="0001193B" w:rsidRPr="003066E2" w:rsidRDefault="00F7097B">
      <w:pPr>
        <w:spacing w:after="100" w:line="240" w:lineRule="auto"/>
        <w:jc w:val="both"/>
        <w:rPr>
          <w:rFonts w:ascii="Cambria" w:eastAsia="Assistant" w:hAnsi="Cambria" w:cs="Assistant"/>
          <w:color w:val="FF0000"/>
          <w:sz w:val="24"/>
          <w:szCs w:val="24"/>
        </w:rPr>
      </w:pPr>
      <w:r w:rsidRPr="003066E2">
        <w:rPr>
          <w:rFonts w:ascii="Cambria" w:eastAsia="Assistant" w:hAnsi="Cambria" w:cs="Assistant"/>
          <w:sz w:val="24"/>
          <w:szCs w:val="24"/>
        </w:rPr>
        <w:t xml:space="preserve">2.2.2 </w:t>
      </w:r>
      <w:r w:rsidRPr="003066E2">
        <w:rPr>
          <w:rFonts w:ascii="Cambria" w:eastAsia="Assistant" w:hAnsi="Cambria" w:cs="Assistant"/>
          <w:sz w:val="24"/>
          <w:szCs w:val="24"/>
          <w:u w:val="single"/>
        </w:rPr>
        <w:t>Omisión de informar pruebas/inspecciones por parte del Propietario o Agente Vinculados</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De acuerdo al artículo 133 del Reglamento de Generadores de vapor tanto el Propietario como el Agente Vinculado (Profesional Idóneo actuando como Inspector Autorizado) se encuentran obligados a notificar la realización de pruebas sobre los generadores de vapor previo a realizarlas. No informar la coordinación de pruebas sobre los generadores de vapor no permiten a la unidad realizar auditorías sobre la actividad realizada.</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La sanción correspondiente al Propietario y al Agente Vinculado es </w:t>
      </w:r>
      <w:r w:rsidRPr="003066E2">
        <w:rPr>
          <w:rFonts w:ascii="Cambria" w:eastAsia="Assistant" w:hAnsi="Cambria" w:cs="Assistant"/>
          <w:b/>
          <w:sz w:val="24"/>
          <w:szCs w:val="24"/>
        </w:rPr>
        <w:t>APERCIBIMIENTO</w:t>
      </w:r>
      <w:r w:rsidRPr="003066E2">
        <w:rPr>
          <w:rFonts w:ascii="Cambria" w:eastAsia="Assistant" w:hAnsi="Cambria" w:cs="Assistant"/>
          <w:sz w:val="24"/>
          <w:szCs w:val="24"/>
        </w:rPr>
        <w:t xml:space="preserve">. Se deberá tener en cuenta, como se indica en el punto </w:t>
      </w:r>
      <w:hyperlink w:anchor="_nb5n3p7kpm9f">
        <w:r w:rsidRPr="003066E2">
          <w:rPr>
            <w:rFonts w:ascii="Cambria" w:eastAsia="Assistant" w:hAnsi="Cambria" w:cs="Assistant"/>
            <w:sz w:val="24"/>
            <w:szCs w:val="24"/>
          </w:rPr>
          <w:t>2. Incremento y disminución de la multa</w:t>
        </w:r>
      </w:hyperlink>
      <w:r w:rsidRPr="003066E2">
        <w:rPr>
          <w:rFonts w:ascii="Cambria" w:eastAsia="Assistant" w:hAnsi="Cambria" w:cs="Assistant"/>
          <w:sz w:val="24"/>
          <w:szCs w:val="24"/>
        </w:rPr>
        <w:t xml:space="preserve"> del Capítulo II, que ante reiteración se aplicará una sanción de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 </w:t>
      </w:r>
      <w:r w:rsidRPr="003066E2">
        <w:rPr>
          <w:rFonts w:ascii="Cambria" w:eastAsia="Assistant" w:hAnsi="Cambria" w:cs="Assistant"/>
          <w:b/>
          <w:sz w:val="24"/>
          <w:szCs w:val="24"/>
        </w:rPr>
        <w:t xml:space="preserve">factor de 1 </w:t>
      </w:r>
      <w:r w:rsidRPr="003066E2">
        <w:rPr>
          <w:rFonts w:ascii="Cambria" w:eastAsia="Assistant" w:hAnsi="Cambria" w:cs="Assistant"/>
          <w:sz w:val="24"/>
          <w:szCs w:val="24"/>
        </w:rPr>
        <w:t xml:space="preserve"> la que se podrá elevar el monto hasta su duplicación, y así sucesivamente.</w:t>
      </w:r>
    </w:p>
    <w:p w:rsidR="0001193B" w:rsidRPr="003066E2" w:rsidRDefault="00F7097B">
      <w:pPr>
        <w:spacing w:after="100" w:line="240" w:lineRule="auto"/>
        <w:jc w:val="both"/>
        <w:rPr>
          <w:rFonts w:ascii="Cambria" w:eastAsia="Assistant" w:hAnsi="Cambria" w:cs="Assistant"/>
          <w:sz w:val="24"/>
          <w:szCs w:val="24"/>
          <w:u w:val="single"/>
        </w:rPr>
      </w:pPr>
      <w:r w:rsidRPr="003066E2">
        <w:rPr>
          <w:rFonts w:ascii="Cambria" w:eastAsia="Assistant" w:hAnsi="Cambria" w:cs="Assistant"/>
          <w:sz w:val="24"/>
          <w:szCs w:val="24"/>
        </w:rPr>
        <w:t xml:space="preserve">2.2.3 </w:t>
      </w:r>
      <w:r w:rsidRPr="003066E2">
        <w:rPr>
          <w:rFonts w:ascii="Cambria" w:eastAsia="Assistant" w:hAnsi="Cambria" w:cs="Assistant"/>
          <w:sz w:val="24"/>
          <w:szCs w:val="24"/>
          <w:u w:val="single"/>
        </w:rPr>
        <w:t>Omisión de informar reparaciones y/o alteraciones por parte del Propietario o Agente Vinculados</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No informar la realización de reparaciones y/o alteraciones contraviene lo establecido en el artículo 16 de la reglamentación y dificulta a la unidad el control sobre los generadores de vapor. No informar la coordinación de pruebas sobre los generadores de vapor no permiten a la unidad realizar auditorías sobre la actividad realizada.</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La sanción correspondiente al Propietario y al Agente Vinculado es </w:t>
      </w:r>
      <w:r w:rsidRPr="003066E2">
        <w:rPr>
          <w:rFonts w:ascii="Cambria" w:eastAsia="Assistant" w:hAnsi="Cambria" w:cs="Assistant"/>
          <w:b/>
          <w:sz w:val="24"/>
          <w:szCs w:val="24"/>
        </w:rPr>
        <w:t>APERCIBIMIENTO</w:t>
      </w:r>
      <w:r w:rsidRPr="003066E2">
        <w:rPr>
          <w:rFonts w:ascii="Cambria" w:eastAsia="Assistant" w:hAnsi="Cambria" w:cs="Assistant"/>
          <w:sz w:val="24"/>
          <w:szCs w:val="24"/>
        </w:rPr>
        <w:t xml:space="preserve">. Se deberá tener en cuenta, como se indica en el punto </w:t>
      </w:r>
      <w:hyperlink w:anchor="_nb5n3p7kpm9f">
        <w:r w:rsidRPr="003066E2">
          <w:rPr>
            <w:rFonts w:ascii="Cambria" w:eastAsia="Assistant" w:hAnsi="Cambria" w:cs="Assistant"/>
            <w:sz w:val="24"/>
            <w:szCs w:val="24"/>
          </w:rPr>
          <w:t>2. Incremento y disminución de la multa</w:t>
        </w:r>
      </w:hyperlink>
      <w:r w:rsidRPr="003066E2">
        <w:rPr>
          <w:rFonts w:ascii="Cambria" w:eastAsia="Assistant" w:hAnsi="Cambria" w:cs="Assistant"/>
          <w:sz w:val="24"/>
          <w:szCs w:val="24"/>
        </w:rPr>
        <w:t xml:space="preserve"> del Capítulo II, que ante reiteración se aplicará una sanción de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 </w:t>
      </w:r>
      <w:r w:rsidRPr="003066E2">
        <w:rPr>
          <w:rFonts w:ascii="Cambria" w:eastAsia="Assistant" w:hAnsi="Cambria" w:cs="Assistant"/>
          <w:b/>
          <w:sz w:val="24"/>
          <w:szCs w:val="24"/>
        </w:rPr>
        <w:t xml:space="preserve">factor de 1 </w:t>
      </w:r>
      <w:r w:rsidRPr="003066E2">
        <w:rPr>
          <w:rFonts w:ascii="Cambria" w:eastAsia="Assistant" w:hAnsi="Cambria" w:cs="Assistant"/>
          <w:sz w:val="24"/>
          <w:szCs w:val="24"/>
        </w:rPr>
        <w:t xml:space="preserve"> la que se podrá elevar el monto hasta su duplicación, y así sucesivamente.</w:t>
      </w:r>
    </w:p>
    <w:p w:rsidR="0001193B" w:rsidRPr="003066E2" w:rsidRDefault="00F7097B">
      <w:pPr>
        <w:spacing w:after="100" w:line="240" w:lineRule="auto"/>
        <w:jc w:val="both"/>
        <w:rPr>
          <w:rFonts w:ascii="Cambria" w:eastAsia="Assistant" w:hAnsi="Cambria" w:cs="Assistant"/>
          <w:color w:val="FF0000"/>
          <w:sz w:val="24"/>
          <w:szCs w:val="24"/>
        </w:rPr>
      </w:pPr>
      <w:r w:rsidRPr="003066E2">
        <w:rPr>
          <w:rFonts w:ascii="Cambria" w:eastAsia="Assistant" w:hAnsi="Cambria" w:cs="Assistant"/>
          <w:sz w:val="24"/>
          <w:szCs w:val="24"/>
        </w:rPr>
        <w:t xml:space="preserve">2.2.4 </w:t>
      </w:r>
      <w:r w:rsidRPr="003066E2">
        <w:rPr>
          <w:rFonts w:ascii="Cambria" w:eastAsia="Assistant" w:hAnsi="Cambria" w:cs="Assistant"/>
          <w:sz w:val="24"/>
          <w:szCs w:val="24"/>
          <w:u w:val="single"/>
        </w:rPr>
        <w:t>Omisión de presentar documentación por parte del Propietario o Agente Vinculados</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El artículo 34 establece que la carpeta del generador de vapor debe mantenerse actualizada en la Ursea, ante esto, todos los Agentes Vinculados que ejecuten alguna intervención deberán entregar un informe de la actividad ante la Ursea. Existen diversos procedimientos de entrega de la documentación (trámites de registro y de pruebas, entre otros). La no presentación de la documentación se considera una infracción al dificultar a la Ursea las diferentes evaluaciones que son realizadas sobre los generadores de vapor y los Agentes Vinculados actuantes. En casos más graves, omisiones relativas a Estudios de Integridad, Memorias de Cálculo de la PMTA o Informes de Reparaciones y/o Alteraciones, las omisiones pueden conllevar a situaciones de riesgo en la operación de un generador de vapor.</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La sanción correspondiente al Propietario y al Agente Vinculado es una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 </w:t>
      </w:r>
      <w:r w:rsidRPr="003066E2">
        <w:rPr>
          <w:rFonts w:ascii="Cambria" w:eastAsia="Assistant" w:hAnsi="Cambria" w:cs="Assistant"/>
          <w:b/>
          <w:sz w:val="24"/>
          <w:szCs w:val="24"/>
        </w:rPr>
        <w:t>factor de 1</w:t>
      </w:r>
      <w:r w:rsidRPr="003066E2">
        <w:rPr>
          <w:rFonts w:ascii="Cambria" w:eastAsia="Assistant" w:hAnsi="Cambria" w:cs="Assistant"/>
          <w:sz w:val="24"/>
          <w:szCs w:val="24"/>
        </w:rPr>
        <w:t xml:space="preserve"> para casos leves y  multiplicado por un </w:t>
      </w:r>
      <w:r w:rsidRPr="003066E2">
        <w:rPr>
          <w:rFonts w:ascii="Cambria" w:eastAsia="Assistant" w:hAnsi="Cambria" w:cs="Assistant"/>
          <w:b/>
          <w:sz w:val="24"/>
          <w:szCs w:val="24"/>
        </w:rPr>
        <w:t>factor de 3</w:t>
      </w:r>
      <w:r w:rsidRPr="003066E2">
        <w:rPr>
          <w:rFonts w:ascii="Cambria" w:eastAsia="Assistant" w:hAnsi="Cambria" w:cs="Assistant"/>
          <w:sz w:val="24"/>
          <w:szCs w:val="24"/>
        </w:rPr>
        <w:t xml:space="preserve"> para casos graves.   </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En estos casos es evaluable la resolución de cese de operación o no habilitación del generador de vapor involucrado dependiendo de la intervención realizada por el Agente Vinculado y su validez. Asimismo, se podrá evaluar la suspensión del Agente de su categoría en el registro de Agentes Vinculados</w:t>
      </w:r>
    </w:p>
    <w:p w:rsidR="00353C97" w:rsidRPr="003066E2" w:rsidRDefault="00353C97">
      <w:pPr>
        <w:spacing w:after="100" w:line="240" w:lineRule="auto"/>
        <w:jc w:val="both"/>
        <w:rPr>
          <w:rFonts w:ascii="Cambria" w:eastAsia="Assistant" w:hAnsi="Cambria" w:cs="Assistant"/>
          <w:sz w:val="24"/>
          <w:szCs w:val="24"/>
        </w:rPr>
      </w:pPr>
    </w:p>
    <w:p w:rsidR="0001193B" w:rsidRPr="003066E2" w:rsidRDefault="00F7097B">
      <w:pPr>
        <w:pStyle w:val="Heading3"/>
        <w:rPr>
          <w:rFonts w:ascii="Cambria" w:hAnsi="Cambria"/>
          <w:b/>
          <w:sz w:val="24"/>
          <w:szCs w:val="24"/>
        </w:rPr>
      </w:pPr>
      <w:bookmarkStart w:id="17" w:name="_9nvw1ytkdv4h" w:colFirst="0" w:colLast="0"/>
      <w:bookmarkEnd w:id="17"/>
      <w:r w:rsidRPr="003066E2">
        <w:rPr>
          <w:rFonts w:ascii="Cambria" w:hAnsi="Cambria"/>
          <w:b/>
          <w:sz w:val="24"/>
          <w:szCs w:val="24"/>
        </w:rPr>
        <w:t>2.3. Entorpecer, no colaborar en la realización de pruebas/inspecciones</w:t>
      </w:r>
      <w:r w:rsidRPr="003066E2">
        <w:rPr>
          <w:rFonts w:ascii="Cambria" w:hAnsi="Cambria"/>
          <w:b/>
          <w:sz w:val="24"/>
          <w:szCs w:val="24"/>
          <w:vertAlign w:val="superscript"/>
        </w:rPr>
        <w:footnoteReference w:id="7"/>
      </w:r>
    </w:p>
    <w:p w:rsidR="0001193B" w:rsidRPr="003066E2" w:rsidRDefault="00F7097B">
      <w:pPr>
        <w:pBdr>
          <w:top w:val="nil"/>
          <w:left w:val="nil"/>
          <w:bottom w:val="nil"/>
          <w:right w:val="nil"/>
          <w:between w:val="nil"/>
        </w:pBd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La Ursea lleva adelante el registro de los generadores de vapor, realizando inspecciones de verificación, auditoría y pruebas como una de las herramientas para fiscalizar. Ante esto, tanto Propietarios como Agentes Vinculados tienen la obligación de comunicar situaciones vinculadas a los Generadores de Vapor. </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2.3.1 </w:t>
      </w:r>
      <w:r w:rsidRPr="003066E2">
        <w:rPr>
          <w:rFonts w:ascii="Cambria" w:eastAsia="Assistant" w:hAnsi="Cambria" w:cs="Assistant"/>
          <w:sz w:val="24"/>
          <w:szCs w:val="24"/>
          <w:u w:val="single"/>
        </w:rPr>
        <w:t>Entorpecer, no colaborar en la realización de inspecciones</w:t>
      </w:r>
    </w:p>
    <w:p w:rsidR="0001193B" w:rsidRPr="003066E2" w:rsidRDefault="00F7097B">
      <w:pPr>
        <w:pBdr>
          <w:top w:val="nil"/>
          <w:left w:val="nil"/>
          <w:bottom w:val="nil"/>
          <w:right w:val="nil"/>
          <w:between w:val="nil"/>
        </w:pBd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En los casos que se realiza una auditoría es necesario que previamente el Propietario y/o Agente Vinculado involucrado comunique previamente la actividad a ser realizada, no cumplir con esto implica infracciones como las mencionadas en los puntos 2.2.2 y 2.2.3. En los casos que la comunicación se realiza, el Propietario debe asegurar que el </w:t>
      </w:r>
      <w:r w:rsidRPr="003066E2">
        <w:rPr>
          <w:rFonts w:ascii="Cambria" w:eastAsia="Assistant" w:hAnsi="Cambria" w:cs="Assistant"/>
          <w:i/>
          <w:sz w:val="24"/>
          <w:szCs w:val="24"/>
        </w:rPr>
        <w:t>generador de vapor</w:t>
      </w:r>
      <w:r w:rsidRPr="003066E2">
        <w:rPr>
          <w:rFonts w:ascii="Cambria" w:eastAsia="Assistant" w:hAnsi="Cambria" w:cs="Assistant"/>
          <w:sz w:val="24"/>
          <w:szCs w:val="24"/>
        </w:rPr>
        <w:t xml:space="preserve"> se encuentra debidamente acondicionado para la realización de pruebas de acuerdo a lo informado, en caso contrario, se considerará un entorpecimiento al no permitir realizar la inspección de auditoría. De la misma manera cuando un Agente Vinculado informe la realización de tareas para las cuales luego no se cumple con lo comunicado.</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La sanción correspondiente es una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 </w:t>
      </w:r>
      <w:r w:rsidRPr="003066E2">
        <w:rPr>
          <w:rFonts w:ascii="Cambria" w:eastAsia="Assistant" w:hAnsi="Cambria" w:cs="Assistant"/>
          <w:b/>
          <w:sz w:val="24"/>
          <w:szCs w:val="24"/>
        </w:rPr>
        <w:t>factor de 1</w:t>
      </w:r>
      <w:r w:rsidRPr="003066E2">
        <w:rPr>
          <w:rFonts w:ascii="Cambria" w:eastAsia="Assistant" w:hAnsi="Cambria" w:cs="Assistant"/>
          <w:sz w:val="24"/>
          <w:szCs w:val="24"/>
        </w:rPr>
        <w:t>.</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2.3.2 </w:t>
      </w:r>
      <w:r w:rsidRPr="003066E2">
        <w:rPr>
          <w:rFonts w:ascii="Cambria" w:eastAsia="Assistant" w:hAnsi="Cambria" w:cs="Assistant"/>
          <w:sz w:val="24"/>
          <w:szCs w:val="24"/>
          <w:u w:val="single"/>
        </w:rPr>
        <w:t>Entorpecer, no colaborar en la realización de verificaciones</w:t>
      </w:r>
    </w:p>
    <w:p w:rsidR="0001193B" w:rsidRPr="003066E2" w:rsidRDefault="00F7097B">
      <w:pPr>
        <w:pBdr>
          <w:top w:val="nil"/>
          <w:left w:val="nil"/>
          <w:bottom w:val="nil"/>
          <w:right w:val="nil"/>
          <w:between w:val="nil"/>
        </w:pBd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En cuanto a la verificación de situaciones de generadores de vapor, el Propietario debe comunicar accidentes de importancia; reubicación del generador de vapor (ya sea por ser trasladado dentro o fuera del establecimiento), baja temporal o permanente. Los Agentes Vinculados y otros, deben entre otras cosas, comunicar toda aquella condición que involucre riesgo inminente de continuar el generador de vapor en operación, cada nuevo </w:t>
      </w:r>
      <w:r w:rsidRPr="003066E2">
        <w:rPr>
          <w:rFonts w:ascii="Cambria" w:eastAsia="Assistant" w:hAnsi="Cambria" w:cs="Assistant"/>
          <w:i/>
          <w:sz w:val="24"/>
          <w:szCs w:val="24"/>
        </w:rPr>
        <w:t>generador de vapor</w:t>
      </w:r>
      <w:r w:rsidRPr="003066E2">
        <w:rPr>
          <w:rFonts w:ascii="Cambria" w:eastAsia="Assistant" w:hAnsi="Cambria" w:cs="Assistant"/>
          <w:sz w:val="24"/>
          <w:szCs w:val="24"/>
        </w:rPr>
        <w:t xml:space="preserve"> que sea fabricado, entregado, vendido y/o importado, las reparaciones y/o alteraciones realizadas, los generadores de vapor en depósitos de compra/venta; fecha y hora en que se realizarán pruebas; </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Asimismo, tanto el Propietario como los Agentes Vinculados deben permitir a los inspectores de la Ursea o quien ésta designe, a realizar la inspección del establecimiento donde se encuentre el generador de vapor en cuestión. En caso contrario se considera un entorpecimiento.</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La sanción correspondiente es una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 </w:t>
      </w:r>
      <w:r w:rsidRPr="003066E2">
        <w:rPr>
          <w:rFonts w:ascii="Cambria" w:eastAsia="Assistant" w:hAnsi="Cambria" w:cs="Assistant"/>
          <w:b/>
          <w:sz w:val="24"/>
          <w:szCs w:val="24"/>
        </w:rPr>
        <w:t>factor de 1</w:t>
      </w:r>
      <w:r w:rsidRPr="003066E2">
        <w:rPr>
          <w:rFonts w:ascii="Cambria" w:eastAsia="Assistant" w:hAnsi="Cambria" w:cs="Assistant"/>
          <w:sz w:val="24"/>
          <w:szCs w:val="24"/>
        </w:rPr>
        <w:t>.</w:t>
      </w:r>
    </w:p>
    <w:p w:rsidR="0001193B" w:rsidRPr="003066E2" w:rsidRDefault="00F7097B">
      <w:pPr>
        <w:spacing w:after="100" w:line="240" w:lineRule="auto"/>
        <w:jc w:val="both"/>
        <w:rPr>
          <w:rFonts w:ascii="Cambria" w:eastAsia="Assistant" w:hAnsi="Cambria" w:cs="Assistant"/>
          <w:sz w:val="24"/>
          <w:szCs w:val="24"/>
          <w:u w:val="single"/>
        </w:rPr>
      </w:pPr>
      <w:r w:rsidRPr="003066E2">
        <w:rPr>
          <w:rFonts w:ascii="Cambria" w:eastAsia="Assistant" w:hAnsi="Cambria" w:cs="Assistant"/>
          <w:sz w:val="24"/>
          <w:szCs w:val="24"/>
        </w:rPr>
        <w:t xml:space="preserve">2.3.3 </w:t>
      </w:r>
      <w:r w:rsidRPr="003066E2">
        <w:rPr>
          <w:rFonts w:ascii="Cambria" w:eastAsia="Assistant" w:hAnsi="Cambria" w:cs="Assistant"/>
          <w:sz w:val="24"/>
          <w:szCs w:val="24"/>
          <w:u w:val="single"/>
        </w:rPr>
        <w:t>Entorpecer, no colaborar en la realización de pruebas</w:t>
      </w:r>
    </w:p>
    <w:p w:rsidR="0001193B" w:rsidRPr="003066E2" w:rsidRDefault="00F7097B">
      <w:pPr>
        <w:spacing w:after="100" w:line="240" w:lineRule="auto"/>
        <w:jc w:val="both"/>
        <w:rPr>
          <w:rFonts w:ascii="Cambria" w:eastAsia="Assistant" w:hAnsi="Cambria" w:cs="Assistant"/>
          <w:sz w:val="24"/>
          <w:szCs w:val="24"/>
          <w:u w:val="single"/>
        </w:rPr>
      </w:pPr>
      <w:r w:rsidRPr="003066E2">
        <w:rPr>
          <w:rFonts w:ascii="Cambria" w:eastAsia="Assistant" w:hAnsi="Cambria" w:cs="Assistant"/>
          <w:sz w:val="24"/>
          <w:szCs w:val="24"/>
        </w:rPr>
        <w:t>No cumplir con los requerimientos reglamentarios para llevar adelante una prueba, por ejemplo, realizar el pago de la tasa de inspección, no disponer de las calibraciones de manómetro y válvulas de seguridad y/o no coordinar con el inspector autorizado una fecha de prueba, se considera que es un entorpecimiento.</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La sanción correspondiente es una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 </w:t>
      </w:r>
      <w:r w:rsidRPr="003066E2">
        <w:rPr>
          <w:rFonts w:ascii="Cambria" w:eastAsia="Assistant" w:hAnsi="Cambria" w:cs="Assistant"/>
          <w:b/>
          <w:sz w:val="24"/>
          <w:szCs w:val="24"/>
        </w:rPr>
        <w:t>factor de 1</w:t>
      </w:r>
      <w:r w:rsidRPr="003066E2">
        <w:rPr>
          <w:rFonts w:ascii="Cambria" w:eastAsia="Assistant" w:hAnsi="Cambria" w:cs="Assistant"/>
          <w:sz w:val="24"/>
          <w:szCs w:val="24"/>
        </w:rPr>
        <w:t>.</w:t>
      </w:r>
    </w:p>
    <w:p w:rsidR="00353C97" w:rsidRPr="003066E2" w:rsidRDefault="00353C97">
      <w:pPr>
        <w:rPr>
          <w:rFonts w:ascii="Cambria" w:eastAsia="Assistant" w:hAnsi="Cambria" w:cs="Assistant"/>
          <w:sz w:val="24"/>
          <w:szCs w:val="24"/>
        </w:rPr>
      </w:pPr>
      <w:r w:rsidRPr="003066E2">
        <w:rPr>
          <w:rFonts w:ascii="Cambria" w:eastAsia="Assistant" w:hAnsi="Cambria" w:cs="Assistant"/>
          <w:sz w:val="24"/>
          <w:szCs w:val="24"/>
        </w:rPr>
        <w:br w:type="page"/>
      </w:r>
    </w:p>
    <w:p w:rsidR="0001193B" w:rsidRPr="003066E2" w:rsidRDefault="00F7097B">
      <w:pPr>
        <w:pStyle w:val="Heading2"/>
        <w:spacing w:after="100" w:line="240" w:lineRule="auto"/>
        <w:rPr>
          <w:rFonts w:ascii="Cambria" w:hAnsi="Cambria"/>
          <w:b/>
          <w:sz w:val="24"/>
          <w:szCs w:val="24"/>
        </w:rPr>
      </w:pPr>
      <w:bookmarkStart w:id="18" w:name="_fmtxvpz9cfid" w:colFirst="0" w:colLast="0"/>
      <w:bookmarkEnd w:id="18"/>
      <w:r w:rsidRPr="003066E2">
        <w:rPr>
          <w:rFonts w:ascii="Cambria" w:hAnsi="Cambria"/>
          <w:b/>
          <w:sz w:val="24"/>
          <w:szCs w:val="24"/>
        </w:rPr>
        <w:t>Capítulo II. Criterios Generales</w:t>
      </w:r>
    </w:p>
    <w:p w:rsidR="0001193B" w:rsidRPr="003066E2" w:rsidRDefault="00F7097B">
      <w:pPr>
        <w:pStyle w:val="Heading2"/>
        <w:rPr>
          <w:rFonts w:ascii="Cambria" w:hAnsi="Cambria"/>
          <w:sz w:val="24"/>
          <w:szCs w:val="24"/>
        </w:rPr>
      </w:pPr>
      <w:bookmarkStart w:id="19" w:name="_a0d7igdwl3ds" w:colFirst="0" w:colLast="0"/>
      <w:bookmarkEnd w:id="19"/>
      <w:r w:rsidRPr="003066E2">
        <w:rPr>
          <w:rFonts w:ascii="Cambria" w:hAnsi="Cambria"/>
          <w:sz w:val="24"/>
          <w:szCs w:val="24"/>
        </w:rPr>
        <w:t>1. Introducción</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En todos los casos los términos utilizados son los definidos en el artículo 5 del Reglamento de Generadores de vapor aprobado por Resolución del Directorio de la Ursea Nº 220/024 de fecha 07/05/24, incluyendo el término “Generador de vapor” definido como “Recipiente sometido a presión interna donde se produce vapor de agua a una presión superior a la atmosférica, mediante la aplicación del calor producido por una fuente externa.” tanto en el mencionado reglamento como en el artículo 20 de la Ley 19535, ante lo cual se contemplan todas las categorías de generadores de vapor definidas en la reglamentación (P, M, G, E1, E2 y E3), los generadores de vapor de baja presión y aquellos generadores de vapor que se exceptúan del reglamento de acuerdo al artículo 3.</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En todos los casos el monto de la multa se determina a partir de la </w:t>
      </w:r>
      <w:r w:rsidRPr="003066E2">
        <w:rPr>
          <w:rFonts w:ascii="Cambria" w:eastAsia="Assistant" w:hAnsi="Cambria" w:cs="Assistant"/>
          <w:i/>
          <w:sz w:val="24"/>
          <w:szCs w:val="24"/>
        </w:rPr>
        <w:t>Superficie de calefacción</w:t>
      </w:r>
      <w:r w:rsidRPr="003066E2">
        <w:rPr>
          <w:rFonts w:ascii="Cambria" w:eastAsia="Assistant" w:hAnsi="Cambria" w:cs="Assistant"/>
          <w:sz w:val="24"/>
          <w:szCs w:val="24"/>
        </w:rPr>
        <w:t xml:space="preserve"> del </w:t>
      </w:r>
      <w:r w:rsidRPr="003066E2">
        <w:rPr>
          <w:rFonts w:ascii="Cambria" w:eastAsia="Assistant" w:hAnsi="Cambria" w:cs="Assistant"/>
          <w:i/>
          <w:sz w:val="24"/>
          <w:szCs w:val="24"/>
        </w:rPr>
        <w:t>Generador de vapor</w:t>
      </w:r>
      <w:r w:rsidRPr="003066E2">
        <w:rPr>
          <w:rFonts w:ascii="Cambria" w:eastAsia="Assistant" w:hAnsi="Cambria" w:cs="Assistant"/>
          <w:sz w:val="24"/>
          <w:szCs w:val="24"/>
        </w:rPr>
        <w:t xml:space="preserve"> involucrado, tomando el valor de la tabla anexa o multiplicando éste por el factor que se indique.</w:t>
      </w:r>
    </w:p>
    <w:p w:rsidR="0001193B" w:rsidRPr="003066E2" w:rsidRDefault="00F7097B">
      <w:pPr>
        <w:spacing w:after="100" w:line="240" w:lineRule="auto"/>
        <w:rPr>
          <w:rFonts w:ascii="Cambria" w:eastAsia="Assistant" w:hAnsi="Cambria" w:cs="Assistant"/>
          <w:sz w:val="24"/>
          <w:szCs w:val="24"/>
        </w:rPr>
      </w:pPr>
      <w:r w:rsidRPr="003066E2">
        <w:rPr>
          <w:rFonts w:ascii="Cambria" w:eastAsia="Assistant" w:hAnsi="Cambria" w:cs="Assistant"/>
          <w:sz w:val="24"/>
          <w:szCs w:val="24"/>
        </w:rPr>
        <w:t xml:space="preserve">Si no se dispone de datos de </w:t>
      </w:r>
      <w:r w:rsidRPr="003066E2">
        <w:rPr>
          <w:rFonts w:ascii="Cambria" w:eastAsia="Assistant" w:hAnsi="Cambria" w:cs="Assistant"/>
          <w:i/>
          <w:sz w:val="24"/>
          <w:szCs w:val="24"/>
        </w:rPr>
        <w:t>Superficie de calefacción</w:t>
      </w:r>
      <w:r w:rsidRPr="003066E2">
        <w:rPr>
          <w:rFonts w:ascii="Cambria" w:eastAsia="Assistant" w:hAnsi="Cambria" w:cs="Assistant"/>
          <w:sz w:val="24"/>
          <w:szCs w:val="24"/>
        </w:rPr>
        <w:t>, los técnicos del Departamento de Generadores de vapor de la Ursea podrán estimarla con el objetivo de determinar el monto equivalente.</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Los montos de las sanciones son básicos y podrán ajustarse de acuerdo a políticas generales de la Ursea. La aplicación de las sanciones es en todos los casos sin perjuicio de otras instancias administrativas según las circunstancias del caso, por ejemplo de resolución de no habilitación o de cese de operación; </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Sin perjuicio de la sanción que corresponda, es posible denunciar la situación ante la Inspección del Trabajo del Ministerio de Trabajo y Seguridad Social y los Gobiernos Departamentales donde se encuentre el establecimiento donde se verifica la infracción.</w:t>
      </w:r>
    </w:p>
    <w:p w:rsidR="00353C97" w:rsidRPr="003066E2" w:rsidRDefault="00353C97">
      <w:pPr>
        <w:spacing w:after="100" w:line="240" w:lineRule="auto"/>
        <w:jc w:val="both"/>
        <w:rPr>
          <w:rFonts w:ascii="Cambria" w:eastAsia="Assistant" w:hAnsi="Cambria" w:cs="Assistant"/>
          <w:sz w:val="24"/>
          <w:szCs w:val="24"/>
        </w:rPr>
      </w:pPr>
    </w:p>
    <w:p w:rsidR="0001193B" w:rsidRPr="003066E2" w:rsidRDefault="00F7097B">
      <w:pPr>
        <w:pStyle w:val="Heading2"/>
        <w:rPr>
          <w:rFonts w:ascii="Cambria" w:hAnsi="Cambria"/>
          <w:sz w:val="24"/>
          <w:szCs w:val="24"/>
        </w:rPr>
      </w:pPr>
      <w:bookmarkStart w:id="20" w:name="_nb5n3p7kpm9f" w:colFirst="0" w:colLast="0"/>
      <w:bookmarkEnd w:id="20"/>
      <w:r w:rsidRPr="003066E2">
        <w:rPr>
          <w:rFonts w:ascii="Cambria" w:hAnsi="Cambria"/>
          <w:sz w:val="24"/>
          <w:szCs w:val="24"/>
        </w:rPr>
        <w:t>2. Incremento y disminución de la multa</w:t>
      </w:r>
    </w:p>
    <w:p w:rsidR="0001193B" w:rsidRPr="003066E2" w:rsidRDefault="00F7097B">
      <w:pPr>
        <w:spacing w:after="100" w:line="240" w:lineRule="auto"/>
        <w:jc w:val="both"/>
        <w:rPr>
          <w:rFonts w:ascii="Cambria" w:eastAsia="Assistant" w:hAnsi="Cambria" w:cs="Assistant"/>
          <w:color w:val="FF0000"/>
          <w:sz w:val="24"/>
          <w:szCs w:val="24"/>
        </w:rPr>
      </w:pPr>
      <w:r w:rsidRPr="003066E2">
        <w:rPr>
          <w:rFonts w:ascii="Cambria" w:eastAsia="Assistant" w:hAnsi="Cambria" w:cs="Assistant"/>
          <w:sz w:val="24"/>
          <w:szCs w:val="24"/>
        </w:rPr>
        <w:t>En caso de constatarse un incumplimiento de cualquier tipo, existiendo un plazo otorgado por la autoridad competente para regularizaciones de tipo general, se considera que no habrá infracción durante dicho plazo.</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Incremento de la multa:</w:t>
      </w:r>
    </w:p>
    <w:p w:rsidR="0001193B" w:rsidRPr="003066E2" w:rsidRDefault="00F7097B">
      <w:pPr>
        <w:numPr>
          <w:ilvl w:val="0"/>
          <w:numId w:val="4"/>
        </w:num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En caso de reiteración de infracciones se podrá elevar el monto de la sanción hasta su duplicación, y así sucesivamente. En caso que la sanción inicial sea de apercibimiento, si se verifica reiteración, se aplicará una sanción de multa por el monto equivalente mostrado en la </w:t>
      </w:r>
      <w:hyperlink w:anchor="_fvv64iunemmr">
        <w:r w:rsidRPr="003066E2">
          <w:rPr>
            <w:rFonts w:ascii="Cambria" w:eastAsia="Assistant" w:hAnsi="Cambria" w:cs="Assistant"/>
            <w:sz w:val="24"/>
            <w:szCs w:val="24"/>
          </w:rPr>
          <w:t>tabla anexa</w:t>
        </w:r>
      </w:hyperlink>
      <w:r w:rsidRPr="003066E2">
        <w:rPr>
          <w:rFonts w:ascii="Cambria" w:eastAsia="Assistant" w:hAnsi="Cambria" w:cs="Assistant"/>
          <w:sz w:val="24"/>
          <w:szCs w:val="24"/>
        </w:rPr>
        <w:t xml:space="preserve"> multiplicado por un </w:t>
      </w:r>
      <w:r w:rsidRPr="003066E2">
        <w:rPr>
          <w:rFonts w:ascii="Cambria" w:eastAsia="Assistant" w:hAnsi="Cambria" w:cs="Assistant"/>
          <w:b/>
          <w:sz w:val="24"/>
          <w:szCs w:val="24"/>
        </w:rPr>
        <w:t xml:space="preserve">factor de 1 </w:t>
      </w:r>
      <w:r w:rsidRPr="003066E2">
        <w:rPr>
          <w:rFonts w:ascii="Cambria" w:eastAsia="Assistant" w:hAnsi="Cambria" w:cs="Assistant"/>
          <w:sz w:val="24"/>
          <w:szCs w:val="24"/>
        </w:rPr>
        <w:t xml:space="preserve"> la que se podrá elevar el monto hasta su duplicación, y así sucesivamente.</w:t>
      </w:r>
    </w:p>
    <w:p w:rsidR="0001193B" w:rsidRPr="003066E2" w:rsidRDefault="00F7097B">
      <w:pPr>
        <w:numPr>
          <w:ilvl w:val="0"/>
          <w:numId w:val="4"/>
        </w:num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En caso de infracciones graves o muy graves, se podrá aplicar una multa de monto mayor a las establecidas en la tabla básica, siempre dentro del marco legal de la Ursea.</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Disminución de la multa:</w:t>
      </w:r>
    </w:p>
    <w:p w:rsidR="0001193B" w:rsidRPr="003066E2" w:rsidRDefault="00F7097B">
      <w:pPr>
        <w:numPr>
          <w:ilvl w:val="0"/>
          <w:numId w:val="2"/>
        </w:num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Si en fecha posterior a la constatación del incumplimiento, en un plazo razonable de 3 meses, se acredita que el </w:t>
      </w:r>
      <w:r w:rsidRPr="003066E2">
        <w:rPr>
          <w:rFonts w:ascii="Cambria" w:eastAsia="Assistant" w:hAnsi="Cambria" w:cs="Assistant"/>
          <w:i/>
          <w:sz w:val="24"/>
          <w:szCs w:val="24"/>
        </w:rPr>
        <w:t xml:space="preserve">Generador de vapor </w:t>
      </w:r>
      <w:r w:rsidRPr="003066E2">
        <w:rPr>
          <w:rFonts w:ascii="Cambria" w:eastAsia="Assistant" w:hAnsi="Cambria" w:cs="Assistant"/>
          <w:sz w:val="24"/>
          <w:szCs w:val="24"/>
        </w:rPr>
        <w:t>cumple con las obligaciones establecidas en el Reglamento de generadores de vapor vigente la sanción de multa podrá ser reducida en un 50%, o ser sustituida por una sanción de Apercibimiento, según las circunstancias del caso.</w:t>
      </w:r>
    </w:p>
    <w:p w:rsidR="0001193B" w:rsidRPr="003066E2" w:rsidRDefault="00F7097B">
      <w:pPr>
        <w:numPr>
          <w:ilvl w:val="0"/>
          <w:numId w:val="2"/>
        </w:num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 xml:space="preserve">Los montos de las sanciones podrán ser morigerados por el Directorio de la Unidad, por resolución fundada, según las circunstancias de cada caso. </w:t>
      </w:r>
    </w:p>
    <w:p w:rsidR="0001193B" w:rsidRPr="003066E2" w:rsidRDefault="00F7097B">
      <w:pPr>
        <w:numPr>
          <w:ilvl w:val="0"/>
          <w:numId w:val="2"/>
        </w:num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Cuando no se comprueben incumplimientos durante tres inspecciones consecutivas, la siguiente infracción se considerará como primera vez.</w:t>
      </w:r>
    </w:p>
    <w:p w:rsidR="00353C97" w:rsidRPr="003066E2" w:rsidRDefault="00353C97">
      <w:pPr>
        <w:rPr>
          <w:rFonts w:ascii="Cambria" w:eastAsia="Assistant" w:hAnsi="Cambria" w:cs="Assistant"/>
          <w:sz w:val="24"/>
          <w:szCs w:val="24"/>
        </w:rPr>
      </w:pPr>
      <w:r w:rsidRPr="003066E2">
        <w:rPr>
          <w:rFonts w:ascii="Cambria" w:eastAsia="Assistant" w:hAnsi="Cambria" w:cs="Assistant"/>
          <w:sz w:val="24"/>
          <w:szCs w:val="24"/>
        </w:rPr>
        <w:br w:type="page"/>
      </w:r>
    </w:p>
    <w:p w:rsidR="0001193B" w:rsidRPr="003066E2" w:rsidRDefault="00F7097B">
      <w:pPr>
        <w:pStyle w:val="Heading2"/>
        <w:spacing w:after="100" w:line="240" w:lineRule="auto"/>
        <w:rPr>
          <w:rFonts w:ascii="Cambria" w:hAnsi="Cambria"/>
          <w:b/>
          <w:sz w:val="24"/>
          <w:szCs w:val="24"/>
        </w:rPr>
      </w:pPr>
      <w:bookmarkStart w:id="21" w:name="_fvv64iunemmr" w:colFirst="0" w:colLast="0"/>
      <w:bookmarkEnd w:id="21"/>
      <w:r w:rsidRPr="003066E2">
        <w:rPr>
          <w:rFonts w:ascii="Cambria" w:hAnsi="Cambria"/>
          <w:b/>
          <w:sz w:val="24"/>
          <w:szCs w:val="24"/>
        </w:rPr>
        <w:t>Capítulo III. Tabla Anexa</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Tabla básica para la determinación de montos de multas, con escalas de montos crecientes según la superficie de calefacción, los valores son en unidades indexadas y se corresponden con el monto equivalente a la tasa de inspecciones o verificaciones anuales de acuerdo a los artículos 22 y 23 de la Ley 19535.</w:t>
      </w:r>
    </w:p>
    <w:p w:rsidR="0001193B" w:rsidRPr="003066E2" w:rsidRDefault="00F7097B">
      <w:pPr>
        <w:spacing w:after="100" w:line="240" w:lineRule="auto"/>
        <w:jc w:val="both"/>
        <w:rPr>
          <w:rFonts w:ascii="Cambria" w:eastAsia="Assistant" w:hAnsi="Cambria" w:cs="Assistant"/>
          <w:sz w:val="24"/>
          <w:szCs w:val="24"/>
        </w:rPr>
      </w:pPr>
      <w:r w:rsidRPr="003066E2">
        <w:rPr>
          <w:rFonts w:ascii="Cambria" w:eastAsia="Assistant" w:hAnsi="Cambria" w:cs="Assistant"/>
          <w:sz w:val="24"/>
          <w:szCs w:val="24"/>
        </w:rPr>
        <w:t>A menos que se indique un factor determinado, la multa será el valor del monto equivalente que se corresponda a la superficie de calefacción del generador de vapor involucrado en la infracción. El monto a abonar en moneda nacional se determina según el valor de la Unidad Indexada al 1° de enero del año en que se constate la infracción.</w:t>
      </w:r>
    </w:p>
    <w:p w:rsidR="0001193B" w:rsidRPr="003066E2" w:rsidRDefault="0001193B">
      <w:pPr>
        <w:spacing w:after="100" w:line="240" w:lineRule="auto"/>
        <w:rPr>
          <w:rFonts w:ascii="Cambria" w:eastAsia="Assistant" w:hAnsi="Cambria" w:cs="Assistant"/>
          <w:sz w:val="24"/>
          <w:szCs w:val="24"/>
        </w:rPr>
      </w:pPr>
    </w:p>
    <w:tbl>
      <w:tblPr>
        <w:tblW w:w="7650" w:type="dxa"/>
        <w:tblInd w:w="9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4275"/>
        <w:gridCol w:w="3375"/>
      </w:tblGrid>
      <w:tr w:rsidR="0001193B" w:rsidRPr="003066E2" w:rsidTr="00353C97">
        <w:tc>
          <w:tcPr>
            <w:tcW w:w="4275" w:type="dxa"/>
            <w:shd w:val="clear" w:color="auto" w:fill="4A86E8"/>
            <w:tcMar>
              <w:top w:w="100" w:type="dxa"/>
              <w:left w:w="100" w:type="dxa"/>
              <w:bottom w:w="100" w:type="dxa"/>
              <w:right w:w="100" w:type="dxa"/>
            </w:tcMar>
          </w:tcPr>
          <w:p w:rsidR="0001193B" w:rsidRPr="003066E2" w:rsidRDefault="00F7097B" w:rsidP="00353C97">
            <w:pPr>
              <w:widowControl w:val="0"/>
              <w:spacing w:line="240" w:lineRule="auto"/>
              <w:jc w:val="center"/>
              <w:rPr>
                <w:rFonts w:ascii="Cambria" w:eastAsia="Assistant" w:hAnsi="Cambria" w:cs="Assistant"/>
                <w:color w:val="FFFFFF"/>
                <w:sz w:val="24"/>
                <w:szCs w:val="24"/>
              </w:rPr>
            </w:pPr>
            <w:r w:rsidRPr="003066E2">
              <w:rPr>
                <w:rFonts w:ascii="Cambria" w:eastAsia="Assistant" w:hAnsi="Cambria" w:cs="Assistant"/>
                <w:color w:val="FFFFFF"/>
                <w:sz w:val="24"/>
                <w:szCs w:val="24"/>
              </w:rPr>
              <w:t xml:space="preserve">Superficie de calefacción del generador de vapor </w:t>
            </w:r>
          </w:p>
          <w:p w:rsidR="0001193B" w:rsidRPr="003066E2" w:rsidRDefault="00F7097B" w:rsidP="00353C97">
            <w:pPr>
              <w:widowControl w:val="0"/>
              <w:spacing w:line="240" w:lineRule="auto"/>
              <w:jc w:val="center"/>
              <w:rPr>
                <w:rFonts w:ascii="Cambria" w:eastAsia="Assistant" w:hAnsi="Cambria" w:cs="Assistant"/>
                <w:color w:val="FFFFFF"/>
                <w:sz w:val="24"/>
                <w:szCs w:val="24"/>
              </w:rPr>
            </w:pPr>
            <w:r w:rsidRPr="003066E2">
              <w:rPr>
                <w:rFonts w:ascii="Cambria" w:eastAsia="Assistant" w:hAnsi="Cambria" w:cs="Assistant"/>
                <w:color w:val="FFFFFF"/>
                <w:sz w:val="24"/>
                <w:szCs w:val="24"/>
              </w:rPr>
              <w:t>en metros cuadrados</w:t>
            </w:r>
          </w:p>
        </w:tc>
        <w:tc>
          <w:tcPr>
            <w:tcW w:w="3375" w:type="dxa"/>
            <w:shd w:val="clear" w:color="auto" w:fill="4A86E8"/>
            <w:tcMar>
              <w:top w:w="100" w:type="dxa"/>
              <w:left w:w="100" w:type="dxa"/>
              <w:bottom w:w="100" w:type="dxa"/>
              <w:right w:w="100" w:type="dxa"/>
            </w:tcMar>
          </w:tcPr>
          <w:p w:rsidR="0001193B" w:rsidRPr="003066E2" w:rsidRDefault="00F7097B" w:rsidP="00353C97">
            <w:pPr>
              <w:widowControl w:val="0"/>
              <w:spacing w:line="240" w:lineRule="auto"/>
              <w:jc w:val="center"/>
              <w:rPr>
                <w:rFonts w:ascii="Cambria" w:eastAsia="Assistant" w:hAnsi="Cambria" w:cs="Assistant"/>
                <w:color w:val="FFFFFF"/>
                <w:sz w:val="24"/>
                <w:szCs w:val="24"/>
              </w:rPr>
            </w:pPr>
            <w:r w:rsidRPr="003066E2">
              <w:rPr>
                <w:rFonts w:ascii="Cambria" w:eastAsia="Assistant" w:hAnsi="Cambria" w:cs="Assistant"/>
                <w:color w:val="FFFFFF"/>
                <w:sz w:val="24"/>
                <w:szCs w:val="24"/>
              </w:rPr>
              <w:t>Monto equivalente</w:t>
            </w:r>
            <w:r w:rsidRPr="003066E2">
              <w:rPr>
                <w:rFonts w:ascii="Cambria" w:eastAsia="Assistant" w:hAnsi="Cambria" w:cs="Assistant"/>
                <w:color w:val="FFFFFF"/>
                <w:sz w:val="24"/>
                <w:szCs w:val="24"/>
              </w:rPr>
              <w:br/>
              <w:t>en Unidades Indexadas</w:t>
            </w:r>
          </w:p>
        </w:tc>
      </w:tr>
      <w:tr w:rsidR="0001193B" w:rsidRPr="003066E2" w:rsidTr="00353C97">
        <w:tc>
          <w:tcPr>
            <w:tcW w:w="4275" w:type="dxa"/>
            <w:shd w:val="clear" w:color="auto" w:fill="auto"/>
            <w:tcMar>
              <w:top w:w="-13" w:type="dxa"/>
              <w:left w:w="-13" w:type="dxa"/>
              <w:bottom w:w="-13" w:type="dxa"/>
              <w:right w:w="-13" w:type="dxa"/>
            </w:tcMar>
            <w:vAlign w:val="center"/>
          </w:tcPr>
          <w:p w:rsidR="0001193B" w:rsidRPr="003066E2" w:rsidRDefault="00F7097B" w:rsidP="00353C97">
            <w:pPr>
              <w:widowControl w:val="0"/>
              <w:spacing w:line="240" w:lineRule="auto"/>
              <w:ind w:left="720" w:hanging="294"/>
              <w:rPr>
                <w:rFonts w:ascii="Cambria" w:eastAsia="Assistant" w:hAnsi="Cambria" w:cs="Assistant"/>
                <w:sz w:val="24"/>
                <w:szCs w:val="24"/>
              </w:rPr>
            </w:pPr>
            <w:r w:rsidRPr="003066E2">
              <w:rPr>
                <w:rFonts w:ascii="Cambria" w:eastAsia="Assistant" w:hAnsi="Cambria" w:cs="Assistant"/>
                <w:sz w:val="24"/>
                <w:szCs w:val="24"/>
              </w:rPr>
              <w:t>Menor o igual a 10</w:t>
            </w:r>
          </w:p>
        </w:tc>
        <w:tc>
          <w:tcPr>
            <w:tcW w:w="3375" w:type="dxa"/>
            <w:shd w:val="clear" w:color="auto" w:fill="auto"/>
            <w:tcMar>
              <w:top w:w="-13" w:type="dxa"/>
              <w:left w:w="-13" w:type="dxa"/>
              <w:bottom w:w="-13" w:type="dxa"/>
              <w:right w:w="-13" w:type="dxa"/>
            </w:tcMar>
            <w:vAlign w:val="center"/>
          </w:tcPr>
          <w:p w:rsidR="0001193B" w:rsidRPr="003066E2" w:rsidRDefault="00F7097B" w:rsidP="00353C97">
            <w:pPr>
              <w:widowControl w:val="0"/>
              <w:spacing w:line="240" w:lineRule="auto"/>
              <w:jc w:val="center"/>
              <w:rPr>
                <w:rFonts w:ascii="Cambria" w:eastAsia="Assistant" w:hAnsi="Cambria" w:cs="Assistant"/>
                <w:sz w:val="24"/>
                <w:szCs w:val="24"/>
              </w:rPr>
            </w:pPr>
            <w:r w:rsidRPr="003066E2">
              <w:rPr>
                <w:rFonts w:ascii="Cambria" w:eastAsia="Assistant" w:hAnsi="Cambria" w:cs="Assistant"/>
                <w:sz w:val="24"/>
                <w:szCs w:val="24"/>
              </w:rPr>
              <w:t>2.390</w:t>
            </w:r>
          </w:p>
        </w:tc>
      </w:tr>
      <w:tr w:rsidR="0001193B" w:rsidRPr="003066E2" w:rsidTr="00353C97">
        <w:tc>
          <w:tcPr>
            <w:tcW w:w="4275" w:type="dxa"/>
            <w:shd w:val="clear" w:color="auto" w:fill="auto"/>
            <w:tcMar>
              <w:top w:w="-13" w:type="dxa"/>
              <w:left w:w="-13" w:type="dxa"/>
              <w:bottom w:w="-13" w:type="dxa"/>
              <w:right w:w="-13" w:type="dxa"/>
            </w:tcMar>
            <w:vAlign w:val="center"/>
          </w:tcPr>
          <w:p w:rsidR="0001193B" w:rsidRPr="003066E2" w:rsidRDefault="00F7097B" w:rsidP="00353C97">
            <w:pPr>
              <w:widowControl w:val="0"/>
              <w:spacing w:line="240" w:lineRule="auto"/>
              <w:ind w:left="720" w:hanging="294"/>
              <w:rPr>
                <w:rFonts w:ascii="Cambria" w:eastAsia="Assistant" w:hAnsi="Cambria" w:cs="Assistant"/>
                <w:sz w:val="24"/>
                <w:szCs w:val="24"/>
              </w:rPr>
            </w:pPr>
            <w:r w:rsidRPr="003066E2">
              <w:rPr>
                <w:rFonts w:ascii="Cambria" w:eastAsia="Assistant" w:hAnsi="Cambria" w:cs="Assistant"/>
                <w:sz w:val="24"/>
                <w:szCs w:val="24"/>
              </w:rPr>
              <w:t>Mayor a 10 y menor o igual a 50</w:t>
            </w:r>
          </w:p>
        </w:tc>
        <w:tc>
          <w:tcPr>
            <w:tcW w:w="3375" w:type="dxa"/>
            <w:shd w:val="clear" w:color="auto" w:fill="auto"/>
            <w:tcMar>
              <w:top w:w="-13" w:type="dxa"/>
              <w:left w:w="-13" w:type="dxa"/>
              <w:bottom w:w="-13" w:type="dxa"/>
              <w:right w:w="-13" w:type="dxa"/>
            </w:tcMar>
            <w:vAlign w:val="center"/>
          </w:tcPr>
          <w:p w:rsidR="0001193B" w:rsidRPr="003066E2" w:rsidRDefault="00F7097B" w:rsidP="00353C97">
            <w:pPr>
              <w:widowControl w:val="0"/>
              <w:spacing w:line="240" w:lineRule="auto"/>
              <w:jc w:val="center"/>
              <w:rPr>
                <w:rFonts w:ascii="Cambria" w:eastAsia="Assistant" w:hAnsi="Cambria" w:cs="Assistant"/>
                <w:sz w:val="24"/>
                <w:szCs w:val="24"/>
              </w:rPr>
            </w:pPr>
            <w:r w:rsidRPr="003066E2">
              <w:rPr>
                <w:rFonts w:ascii="Cambria" w:eastAsia="Assistant" w:hAnsi="Cambria" w:cs="Assistant"/>
                <w:sz w:val="24"/>
                <w:szCs w:val="24"/>
              </w:rPr>
              <w:t>4.781</w:t>
            </w:r>
          </w:p>
        </w:tc>
      </w:tr>
      <w:tr w:rsidR="0001193B" w:rsidRPr="003066E2" w:rsidTr="00353C97">
        <w:tc>
          <w:tcPr>
            <w:tcW w:w="4275" w:type="dxa"/>
            <w:shd w:val="clear" w:color="auto" w:fill="auto"/>
            <w:tcMar>
              <w:top w:w="-13" w:type="dxa"/>
              <w:left w:w="-13" w:type="dxa"/>
              <w:bottom w:w="-13" w:type="dxa"/>
              <w:right w:w="-13" w:type="dxa"/>
            </w:tcMar>
            <w:vAlign w:val="center"/>
          </w:tcPr>
          <w:p w:rsidR="0001193B" w:rsidRPr="003066E2" w:rsidRDefault="00F7097B" w:rsidP="00353C97">
            <w:pPr>
              <w:widowControl w:val="0"/>
              <w:spacing w:line="240" w:lineRule="auto"/>
              <w:ind w:left="720" w:hanging="294"/>
              <w:rPr>
                <w:rFonts w:ascii="Cambria" w:eastAsia="Assistant" w:hAnsi="Cambria" w:cs="Assistant"/>
                <w:sz w:val="24"/>
                <w:szCs w:val="24"/>
              </w:rPr>
            </w:pPr>
            <w:r w:rsidRPr="003066E2">
              <w:rPr>
                <w:rFonts w:ascii="Cambria" w:eastAsia="Assistant" w:hAnsi="Cambria" w:cs="Assistant"/>
                <w:sz w:val="24"/>
                <w:szCs w:val="24"/>
              </w:rPr>
              <w:t>Mayor a 50 y menor o igual a 300</w:t>
            </w:r>
          </w:p>
        </w:tc>
        <w:tc>
          <w:tcPr>
            <w:tcW w:w="3375" w:type="dxa"/>
            <w:shd w:val="clear" w:color="auto" w:fill="auto"/>
            <w:tcMar>
              <w:top w:w="-13" w:type="dxa"/>
              <w:left w:w="-13" w:type="dxa"/>
              <w:bottom w:w="-13" w:type="dxa"/>
              <w:right w:w="-13" w:type="dxa"/>
            </w:tcMar>
            <w:vAlign w:val="center"/>
          </w:tcPr>
          <w:p w:rsidR="0001193B" w:rsidRPr="003066E2" w:rsidRDefault="00F7097B" w:rsidP="00353C97">
            <w:pPr>
              <w:widowControl w:val="0"/>
              <w:spacing w:line="240" w:lineRule="auto"/>
              <w:jc w:val="center"/>
              <w:rPr>
                <w:rFonts w:ascii="Cambria" w:eastAsia="Assistant" w:hAnsi="Cambria" w:cs="Assistant"/>
                <w:sz w:val="24"/>
                <w:szCs w:val="24"/>
              </w:rPr>
            </w:pPr>
            <w:r w:rsidRPr="003066E2">
              <w:rPr>
                <w:rFonts w:ascii="Cambria" w:eastAsia="Assistant" w:hAnsi="Cambria" w:cs="Assistant"/>
                <w:sz w:val="24"/>
                <w:szCs w:val="24"/>
              </w:rPr>
              <w:t>7.171</w:t>
            </w:r>
          </w:p>
        </w:tc>
      </w:tr>
      <w:tr w:rsidR="0001193B" w:rsidRPr="003066E2" w:rsidTr="00353C97">
        <w:tc>
          <w:tcPr>
            <w:tcW w:w="4275" w:type="dxa"/>
            <w:shd w:val="clear" w:color="auto" w:fill="auto"/>
            <w:tcMar>
              <w:top w:w="-13" w:type="dxa"/>
              <w:left w:w="-13" w:type="dxa"/>
              <w:bottom w:w="-13" w:type="dxa"/>
              <w:right w:w="-13" w:type="dxa"/>
            </w:tcMar>
            <w:vAlign w:val="center"/>
          </w:tcPr>
          <w:p w:rsidR="0001193B" w:rsidRPr="003066E2" w:rsidRDefault="00F7097B" w:rsidP="00353C97">
            <w:pPr>
              <w:widowControl w:val="0"/>
              <w:spacing w:line="240" w:lineRule="auto"/>
              <w:ind w:left="720" w:hanging="294"/>
              <w:rPr>
                <w:rFonts w:ascii="Cambria" w:eastAsia="Assistant" w:hAnsi="Cambria" w:cs="Assistant"/>
                <w:sz w:val="24"/>
                <w:szCs w:val="24"/>
              </w:rPr>
            </w:pPr>
            <w:r w:rsidRPr="003066E2">
              <w:rPr>
                <w:rFonts w:ascii="Cambria" w:eastAsia="Assistant" w:hAnsi="Cambria" w:cs="Assistant"/>
                <w:sz w:val="24"/>
                <w:szCs w:val="24"/>
              </w:rPr>
              <w:t>Mayor a 300 y menor o igual a 800</w:t>
            </w:r>
          </w:p>
        </w:tc>
        <w:tc>
          <w:tcPr>
            <w:tcW w:w="3375" w:type="dxa"/>
            <w:shd w:val="clear" w:color="auto" w:fill="auto"/>
            <w:tcMar>
              <w:top w:w="-13" w:type="dxa"/>
              <w:left w:w="-13" w:type="dxa"/>
              <w:bottom w:w="-13" w:type="dxa"/>
              <w:right w:w="-13" w:type="dxa"/>
            </w:tcMar>
            <w:vAlign w:val="center"/>
          </w:tcPr>
          <w:p w:rsidR="0001193B" w:rsidRPr="003066E2" w:rsidRDefault="00F7097B" w:rsidP="00353C97">
            <w:pPr>
              <w:widowControl w:val="0"/>
              <w:spacing w:line="240" w:lineRule="auto"/>
              <w:jc w:val="center"/>
              <w:rPr>
                <w:rFonts w:ascii="Cambria" w:eastAsia="Assistant" w:hAnsi="Cambria" w:cs="Assistant"/>
                <w:sz w:val="24"/>
                <w:szCs w:val="24"/>
              </w:rPr>
            </w:pPr>
            <w:r w:rsidRPr="003066E2">
              <w:rPr>
                <w:rFonts w:ascii="Cambria" w:eastAsia="Assistant" w:hAnsi="Cambria" w:cs="Assistant"/>
                <w:sz w:val="24"/>
                <w:szCs w:val="24"/>
              </w:rPr>
              <w:t>14.342</w:t>
            </w:r>
          </w:p>
        </w:tc>
      </w:tr>
      <w:tr w:rsidR="0001193B" w:rsidRPr="003066E2" w:rsidTr="00353C97">
        <w:tc>
          <w:tcPr>
            <w:tcW w:w="4275" w:type="dxa"/>
            <w:shd w:val="clear" w:color="auto" w:fill="auto"/>
            <w:tcMar>
              <w:top w:w="-13" w:type="dxa"/>
              <w:left w:w="-13" w:type="dxa"/>
              <w:bottom w:w="-13" w:type="dxa"/>
              <w:right w:w="-13" w:type="dxa"/>
            </w:tcMar>
            <w:vAlign w:val="center"/>
          </w:tcPr>
          <w:p w:rsidR="0001193B" w:rsidRPr="003066E2" w:rsidRDefault="00F7097B" w:rsidP="00353C97">
            <w:pPr>
              <w:widowControl w:val="0"/>
              <w:spacing w:line="240" w:lineRule="auto"/>
              <w:ind w:left="720" w:hanging="294"/>
              <w:rPr>
                <w:rFonts w:ascii="Cambria" w:eastAsia="Assistant" w:hAnsi="Cambria" w:cs="Assistant"/>
                <w:sz w:val="24"/>
                <w:szCs w:val="24"/>
              </w:rPr>
            </w:pPr>
            <w:r w:rsidRPr="003066E2">
              <w:rPr>
                <w:rFonts w:ascii="Cambria" w:eastAsia="Assistant" w:hAnsi="Cambria" w:cs="Assistant"/>
                <w:sz w:val="24"/>
                <w:szCs w:val="24"/>
              </w:rPr>
              <w:t>Mayor a 800 y menor o igual a 7000</w:t>
            </w:r>
          </w:p>
        </w:tc>
        <w:tc>
          <w:tcPr>
            <w:tcW w:w="3375" w:type="dxa"/>
            <w:shd w:val="clear" w:color="auto" w:fill="auto"/>
            <w:tcMar>
              <w:top w:w="-13" w:type="dxa"/>
              <w:left w:w="-13" w:type="dxa"/>
              <w:bottom w:w="-13" w:type="dxa"/>
              <w:right w:w="-13" w:type="dxa"/>
            </w:tcMar>
            <w:vAlign w:val="center"/>
          </w:tcPr>
          <w:p w:rsidR="0001193B" w:rsidRPr="003066E2" w:rsidRDefault="00F7097B" w:rsidP="00353C97">
            <w:pPr>
              <w:widowControl w:val="0"/>
              <w:spacing w:line="240" w:lineRule="auto"/>
              <w:jc w:val="center"/>
              <w:rPr>
                <w:rFonts w:ascii="Cambria" w:eastAsia="Assistant" w:hAnsi="Cambria" w:cs="Assistant"/>
                <w:sz w:val="24"/>
                <w:szCs w:val="24"/>
              </w:rPr>
            </w:pPr>
            <w:r w:rsidRPr="003066E2">
              <w:rPr>
                <w:rFonts w:ascii="Cambria" w:eastAsia="Assistant" w:hAnsi="Cambria" w:cs="Assistant"/>
                <w:sz w:val="24"/>
                <w:szCs w:val="24"/>
              </w:rPr>
              <w:t>23.903</w:t>
            </w:r>
          </w:p>
        </w:tc>
      </w:tr>
      <w:tr w:rsidR="0001193B" w:rsidRPr="003066E2" w:rsidTr="00353C97">
        <w:tc>
          <w:tcPr>
            <w:tcW w:w="4275" w:type="dxa"/>
            <w:shd w:val="clear" w:color="auto" w:fill="auto"/>
            <w:tcMar>
              <w:top w:w="-13" w:type="dxa"/>
              <w:left w:w="-13" w:type="dxa"/>
              <w:bottom w:w="-13" w:type="dxa"/>
              <w:right w:w="-13" w:type="dxa"/>
            </w:tcMar>
            <w:vAlign w:val="center"/>
          </w:tcPr>
          <w:p w:rsidR="0001193B" w:rsidRPr="003066E2" w:rsidRDefault="00F7097B" w:rsidP="00353C97">
            <w:pPr>
              <w:widowControl w:val="0"/>
              <w:spacing w:line="240" w:lineRule="auto"/>
              <w:ind w:left="720" w:hanging="294"/>
              <w:rPr>
                <w:rFonts w:ascii="Cambria" w:eastAsia="Assistant" w:hAnsi="Cambria" w:cs="Assistant"/>
                <w:sz w:val="24"/>
                <w:szCs w:val="24"/>
              </w:rPr>
            </w:pPr>
            <w:r w:rsidRPr="003066E2">
              <w:rPr>
                <w:rFonts w:ascii="Cambria" w:eastAsia="Assistant" w:hAnsi="Cambria" w:cs="Assistant"/>
                <w:sz w:val="24"/>
                <w:szCs w:val="24"/>
              </w:rPr>
              <w:t>Mayor a 7000</w:t>
            </w:r>
          </w:p>
        </w:tc>
        <w:tc>
          <w:tcPr>
            <w:tcW w:w="3375" w:type="dxa"/>
            <w:shd w:val="clear" w:color="auto" w:fill="auto"/>
            <w:tcMar>
              <w:top w:w="-13" w:type="dxa"/>
              <w:left w:w="-13" w:type="dxa"/>
              <w:bottom w:w="-13" w:type="dxa"/>
              <w:right w:w="-13" w:type="dxa"/>
            </w:tcMar>
            <w:vAlign w:val="center"/>
          </w:tcPr>
          <w:p w:rsidR="0001193B" w:rsidRPr="003066E2" w:rsidRDefault="00F7097B" w:rsidP="00353C97">
            <w:pPr>
              <w:widowControl w:val="0"/>
              <w:spacing w:line="240" w:lineRule="auto"/>
              <w:jc w:val="center"/>
              <w:rPr>
                <w:rFonts w:ascii="Cambria" w:eastAsia="Assistant" w:hAnsi="Cambria" w:cs="Assistant"/>
                <w:sz w:val="24"/>
                <w:szCs w:val="24"/>
              </w:rPr>
            </w:pPr>
            <w:r w:rsidRPr="003066E2">
              <w:rPr>
                <w:rFonts w:ascii="Cambria" w:eastAsia="Assistant" w:hAnsi="Cambria" w:cs="Assistant"/>
                <w:sz w:val="24"/>
                <w:szCs w:val="24"/>
              </w:rPr>
              <w:t>47.806</w:t>
            </w:r>
          </w:p>
        </w:tc>
      </w:tr>
    </w:tbl>
    <w:p w:rsidR="0001193B" w:rsidRPr="003066E2" w:rsidRDefault="00F7097B">
      <w:pPr>
        <w:spacing w:after="100" w:line="240" w:lineRule="auto"/>
        <w:ind w:left="992" w:right="954"/>
        <w:rPr>
          <w:rFonts w:ascii="Cambria" w:eastAsia="Assistant" w:hAnsi="Cambria" w:cs="Assistant"/>
          <w:sz w:val="24"/>
          <w:szCs w:val="24"/>
        </w:rPr>
      </w:pPr>
      <w:r w:rsidRPr="003066E2">
        <w:rPr>
          <w:rFonts w:ascii="Cambria" w:eastAsia="Assistant" w:hAnsi="Cambria" w:cs="Assistant"/>
          <w:sz w:val="24"/>
          <w:szCs w:val="24"/>
        </w:rPr>
        <w:t>Para los generadores de vapor en base a energía eléctrica se considerarán las mismas escalas con una equivalencia de 1 metro cuadrado por cada 25 kW.</w:t>
      </w:r>
    </w:p>
    <w:p w:rsidR="0001193B" w:rsidRPr="003066E2" w:rsidRDefault="0001193B">
      <w:pPr>
        <w:spacing w:after="100" w:line="240" w:lineRule="auto"/>
        <w:rPr>
          <w:rFonts w:ascii="Cambria" w:eastAsia="Assistant" w:hAnsi="Cambria" w:cs="Assistant"/>
          <w:sz w:val="24"/>
          <w:szCs w:val="24"/>
        </w:rPr>
      </w:pPr>
    </w:p>
    <w:p w:rsidR="0001193B" w:rsidRPr="003066E2" w:rsidRDefault="0001193B" w:rsidP="00F7097B">
      <w:pPr>
        <w:spacing w:after="100" w:line="240" w:lineRule="auto"/>
        <w:rPr>
          <w:rFonts w:ascii="Cambria" w:eastAsia="Assistant" w:hAnsi="Cambria" w:cs="Assistant"/>
          <w:sz w:val="24"/>
          <w:szCs w:val="24"/>
        </w:rPr>
      </w:pPr>
    </w:p>
    <w:sectPr w:rsidR="0001193B" w:rsidRPr="003066E2">
      <w:headerReference w:type="default" r:id="rId7"/>
      <w:pgSz w:w="11909" w:h="16834"/>
      <w:pgMar w:top="1440" w:right="873"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42FA" w:rsidRDefault="007242FA">
      <w:pPr>
        <w:spacing w:line="240" w:lineRule="auto"/>
      </w:pPr>
      <w:r>
        <w:separator/>
      </w:r>
    </w:p>
  </w:endnote>
  <w:endnote w:type="continuationSeparator" w:id="0">
    <w:p w:rsidR="007242FA" w:rsidRDefault="007242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hare">
    <w:altName w:val="Times New Roman"/>
    <w:charset w:val="00"/>
    <w:family w:val="auto"/>
    <w:pitch w:val="default"/>
  </w:font>
  <w:font w:name="Assistan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anklin Gothic">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42FA" w:rsidRDefault="007242FA">
      <w:pPr>
        <w:spacing w:line="240" w:lineRule="auto"/>
      </w:pPr>
      <w:r>
        <w:separator/>
      </w:r>
    </w:p>
  </w:footnote>
  <w:footnote w:type="continuationSeparator" w:id="0">
    <w:p w:rsidR="007242FA" w:rsidRDefault="007242FA">
      <w:pPr>
        <w:spacing w:line="240" w:lineRule="auto"/>
      </w:pPr>
      <w:r>
        <w:continuationSeparator/>
      </w:r>
    </w:p>
  </w:footnote>
  <w:footnote w:id="1">
    <w:p w:rsidR="0001193B" w:rsidRDefault="00F7097B">
      <w:pPr>
        <w:spacing w:line="240" w:lineRule="auto"/>
        <w:rPr>
          <w:sz w:val="22"/>
          <w:szCs w:val="22"/>
        </w:rPr>
      </w:pPr>
      <w:r>
        <w:rPr>
          <w:vertAlign w:val="superscript"/>
        </w:rPr>
        <w:footnoteRef/>
      </w:r>
      <w:r>
        <w:t xml:space="preserve"> </w:t>
      </w:r>
      <w:r>
        <w:rPr>
          <w:rFonts w:ascii="Assistant" w:eastAsia="Assistant" w:hAnsi="Assistant" w:cs="Assistant"/>
          <w:sz w:val="18"/>
          <w:szCs w:val="18"/>
        </w:rPr>
        <w:t>Fuente de la obligación: Ley N° 19.535 artículos 21 literal d) y artículo 24 literal c), Resolución URSEA N° 220/024 art 53.</w:t>
      </w:r>
    </w:p>
  </w:footnote>
  <w:footnote w:id="2">
    <w:p w:rsidR="0001193B" w:rsidRDefault="00F7097B">
      <w:pPr>
        <w:spacing w:line="240" w:lineRule="auto"/>
        <w:rPr>
          <w:sz w:val="22"/>
          <w:szCs w:val="22"/>
        </w:rPr>
      </w:pPr>
      <w:r>
        <w:rPr>
          <w:vertAlign w:val="superscript"/>
        </w:rPr>
        <w:footnoteRef/>
      </w:r>
      <w:r>
        <w:t xml:space="preserve"> </w:t>
      </w:r>
      <w:r>
        <w:rPr>
          <w:rFonts w:ascii="Assistant" w:eastAsia="Assistant" w:hAnsi="Assistant" w:cs="Assistant"/>
          <w:sz w:val="18"/>
          <w:szCs w:val="18"/>
        </w:rPr>
        <w:t>Fuente de la obligación: Ley N° 19.535 artículos 21 literales b y c) y artículo 24 literal b), Resolución URSEA N° 220/024 artículo 7 literal b) y artículos 160, 165 y 166.</w:t>
      </w:r>
    </w:p>
  </w:footnote>
  <w:footnote w:id="3">
    <w:p w:rsidR="0001193B" w:rsidRDefault="00F7097B">
      <w:pPr>
        <w:spacing w:line="240" w:lineRule="auto"/>
        <w:rPr>
          <w:sz w:val="22"/>
          <w:szCs w:val="22"/>
        </w:rPr>
      </w:pPr>
      <w:r>
        <w:rPr>
          <w:vertAlign w:val="superscript"/>
        </w:rPr>
        <w:footnoteRef/>
      </w:r>
      <w:r>
        <w:t xml:space="preserve"> </w:t>
      </w:r>
      <w:r>
        <w:rPr>
          <w:rFonts w:ascii="Assistant" w:eastAsia="Assistant" w:hAnsi="Assistant" w:cs="Assistant"/>
          <w:sz w:val="18"/>
          <w:szCs w:val="18"/>
        </w:rPr>
        <w:t>Fuente de la obligación: Ley 19.535, artículo 21 literales b y c) artículo 24 literal b), , Resolución URSEA N° 220/024 artículo 7 literal h), artículos 137 y 159 y Anexo 2.</w:t>
      </w:r>
    </w:p>
  </w:footnote>
  <w:footnote w:id="4">
    <w:p w:rsidR="0001193B" w:rsidRDefault="00F7097B">
      <w:pPr>
        <w:spacing w:line="240" w:lineRule="auto"/>
        <w:rPr>
          <w:sz w:val="22"/>
          <w:szCs w:val="22"/>
        </w:rPr>
      </w:pPr>
      <w:r>
        <w:rPr>
          <w:vertAlign w:val="superscript"/>
        </w:rPr>
        <w:footnoteRef/>
      </w:r>
      <w:r>
        <w:t xml:space="preserve"> </w:t>
      </w:r>
      <w:r>
        <w:rPr>
          <w:rFonts w:ascii="Assistant" w:eastAsia="Assistant" w:hAnsi="Assistant" w:cs="Assistant"/>
          <w:sz w:val="18"/>
          <w:szCs w:val="18"/>
        </w:rPr>
        <w:t>Fuente de la obligación: Ley 19.355 artículo 20, artículo 21 literales a) y b) y artículo 24 literal a),d) y g), Resolución URSEA N° 220/024 y en particular artículo 169</w:t>
      </w:r>
    </w:p>
  </w:footnote>
  <w:footnote w:id="5">
    <w:p w:rsidR="0001193B" w:rsidRDefault="00F7097B">
      <w:pPr>
        <w:spacing w:line="240" w:lineRule="auto"/>
        <w:rPr>
          <w:sz w:val="22"/>
          <w:szCs w:val="22"/>
        </w:rPr>
      </w:pPr>
      <w:r>
        <w:rPr>
          <w:vertAlign w:val="superscript"/>
        </w:rPr>
        <w:footnoteRef/>
      </w:r>
      <w:r>
        <w:t xml:space="preserve"> </w:t>
      </w:r>
      <w:r>
        <w:rPr>
          <w:rFonts w:ascii="Assistant" w:eastAsia="Assistant" w:hAnsi="Assistant" w:cs="Assistant"/>
          <w:sz w:val="18"/>
          <w:szCs w:val="18"/>
        </w:rPr>
        <w:t>Fuente de la obligación: Ley 19.535 artículo 21 literal e); artículo 24 literales e) y f) y  Resolución URSEA N° 220/024, en particular artículos 11,  106, 110, 113, 120 y 122.</w:t>
      </w:r>
    </w:p>
  </w:footnote>
  <w:footnote w:id="6">
    <w:p w:rsidR="0001193B" w:rsidRDefault="00F7097B">
      <w:pPr>
        <w:spacing w:line="240" w:lineRule="auto"/>
        <w:rPr>
          <w:sz w:val="22"/>
          <w:szCs w:val="22"/>
        </w:rPr>
      </w:pPr>
      <w:r>
        <w:rPr>
          <w:vertAlign w:val="superscript"/>
        </w:rPr>
        <w:footnoteRef/>
      </w:r>
      <w:r>
        <w:t xml:space="preserve"> </w:t>
      </w:r>
      <w:r>
        <w:rPr>
          <w:rFonts w:ascii="Assistant" w:eastAsia="Assistant" w:hAnsi="Assistant" w:cs="Assistant"/>
          <w:sz w:val="18"/>
          <w:szCs w:val="18"/>
        </w:rPr>
        <w:t xml:space="preserve">Fuente de la obligación: Ley 19.535 artículo 24, en especial los </w:t>
      </w:r>
      <w:proofErr w:type="spellStart"/>
      <w:r>
        <w:rPr>
          <w:rFonts w:ascii="Assistant" w:eastAsia="Assistant" w:hAnsi="Assistant" w:cs="Assistant"/>
          <w:sz w:val="18"/>
          <w:szCs w:val="18"/>
        </w:rPr>
        <w:t>lits</w:t>
      </w:r>
      <w:proofErr w:type="spellEnd"/>
      <w:r>
        <w:rPr>
          <w:rFonts w:ascii="Assistant" w:eastAsia="Assistant" w:hAnsi="Assistant" w:cs="Assistant"/>
          <w:sz w:val="18"/>
          <w:szCs w:val="18"/>
        </w:rPr>
        <w:t xml:space="preserve"> a), e) y g) y Resolución URSEA N° 220/024, en particular artículos 7 literal j), 14, 26, 34, 37 a 42, 53 a 55, 108, 110, 121, 125, 127, 165, 179 y anexos 1, 2 y 6.</w:t>
      </w:r>
    </w:p>
  </w:footnote>
  <w:footnote w:id="7">
    <w:p w:rsidR="0001193B" w:rsidRDefault="00F7097B">
      <w:pPr>
        <w:spacing w:line="240" w:lineRule="auto"/>
        <w:rPr>
          <w:sz w:val="22"/>
          <w:szCs w:val="22"/>
        </w:rPr>
      </w:pPr>
      <w:r>
        <w:rPr>
          <w:vertAlign w:val="superscript"/>
        </w:rPr>
        <w:footnoteRef/>
      </w:r>
      <w:r>
        <w:t xml:space="preserve"> </w:t>
      </w:r>
      <w:r>
        <w:rPr>
          <w:rFonts w:ascii="Assistant" w:eastAsia="Assistant" w:hAnsi="Assistant" w:cs="Assistant"/>
          <w:sz w:val="18"/>
          <w:szCs w:val="18"/>
        </w:rPr>
        <w:t>Fuente de la obligación: ley 19.535 artículo 24 literal d) y Resolución URSEA N° 220/024, en particular artículos 7 literales i) y j), 14, 15, 16, 17, 110, 133, 165 literal a), 171 y 172.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93B" w:rsidRDefault="0001193B">
    <w:pPr>
      <w:widowControl w:val="0"/>
      <w:tabs>
        <w:tab w:val="center" w:pos="4252"/>
        <w:tab w:val="right" w:pos="8504"/>
      </w:tabs>
      <w:spacing w:line="240" w:lineRule="auto"/>
      <w:rPr>
        <w:rFonts w:ascii="Franklin Gothic" w:eastAsia="Franklin Gothic" w:hAnsi="Franklin Gothic" w:cs="Franklin Gothic"/>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139CB"/>
    <w:multiLevelType w:val="multilevel"/>
    <w:tmpl w:val="D2A25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2D948AC"/>
    <w:multiLevelType w:val="multilevel"/>
    <w:tmpl w:val="71CE56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2E802F0"/>
    <w:multiLevelType w:val="multilevel"/>
    <w:tmpl w:val="5074E702"/>
    <w:lvl w:ilvl="0">
      <w:start w:val="1"/>
      <w:numFmt w:val="bullet"/>
      <w:lvlText w:val="●"/>
      <w:lvlJc w:val="left"/>
      <w:pPr>
        <w:ind w:left="720" w:hanging="360"/>
      </w:pPr>
      <w:rPr>
        <w:sz w:val="1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5E056DA"/>
    <w:multiLevelType w:val="multilevel"/>
    <w:tmpl w:val="80000A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99C4F0F"/>
    <w:multiLevelType w:val="multilevel"/>
    <w:tmpl w:val="3B463866"/>
    <w:lvl w:ilvl="0">
      <w:start w:val="1"/>
      <w:numFmt w:val="bullet"/>
      <w:lvlText w:val="●"/>
      <w:lvlJc w:val="left"/>
      <w:pPr>
        <w:ind w:left="720" w:hanging="360"/>
      </w:pPr>
      <w:rPr>
        <w:sz w:val="1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B1C5CAB"/>
    <w:multiLevelType w:val="multilevel"/>
    <w:tmpl w:val="B8842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16022C9"/>
    <w:multiLevelType w:val="multilevel"/>
    <w:tmpl w:val="68167F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6"/>
  </w:num>
  <w:num w:numId="2">
    <w:abstractNumId w:val="4"/>
  </w:num>
  <w:num w:numId="3">
    <w:abstractNumId w:val="0"/>
  </w:num>
  <w:num w:numId="4">
    <w:abstractNumId w:val="2"/>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oofState w:spelling="clean" w:grammar="clean"/>
  <w:revisionView w:inkAnnotations="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193B"/>
    <w:rsid w:val="0001193B"/>
    <w:rsid w:val="00111FD3"/>
    <w:rsid w:val="003066E2"/>
    <w:rsid w:val="00353C97"/>
    <w:rsid w:val="006C3839"/>
    <w:rsid w:val="007242FA"/>
    <w:rsid w:val="00DF5F31"/>
    <w:rsid w:val="00F709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01E9B863-B100-44B6-A443-07FC6E565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hare" w:eastAsia="Share" w:hAnsi="Share" w:cs="Share"/>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line="276" w:lineRule="auto"/>
    </w:pPr>
    <w:rPr>
      <w:lang w:val="es" w:eastAsia="es-UY"/>
    </w:rPr>
  </w:style>
  <w:style w:type="paragraph" w:styleId="Heading1">
    <w:name w:val="heading 1"/>
    <w:basedOn w:val="Normal"/>
    <w:next w:val="Normal"/>
    <w:pPr>
      <w:keepNext/>
      <w:keepLines/>
      <w:jc w:val="center"/>
      <w:outlineLvl w:val="0"/>
    </w:pPr>
    <w:rPr>
      <w:sz w:val="52"/>
      <w:szCs w:val="52"/>
    </w:rPr>
  </w:style>
  <w:style w:type="paragraph" w:styleId="Heading2">
    <w:name w:val="heading 2"/>
    <w:basedOn w:val="Normal"/>
    <w:next w:val="Normal"/>
    <w:pPr>
      <w:keepNext/>
      <w:keepLines/>
      <w:jc w:val="both"/>
      <w:outlineLvl w:val="1"/>
    </w:pPr>
    <w:rPr>
      <w:rFonts w:ascii="Assistant" w:eastAsia="Assistant" w:hAnsi="Assistant" w:cs="Assistant"/>
      <w:sz w:val="32"/>
      <w:szCs w:val="32"/>
    </w:rPr>
  </w:style>
  <w:style w:type="paragraph" w:styleId="Heading3">
    <w:name w:val="heading 3"/>
    <w:basedOn w:val="Normal"/>
    <w:next w:val="Normal"/>
    <w:pPr>
      <w:keepNext/>
      <w:keepLines/>
      <w:spacing w:after="100" w:line="240" w:lineRule="auto"/>
      <w:outlineLvl w:val="2"/>
    </w:pPr>
    <w:rPr>
      <w:rFonts w:ascii="Assistant" w:eastAsia="Assistant" w:hAnsi="Assistant" w:cs="Assistant"/>
      <w:sz w:val="32"/>
      <w:szCs w:val="32"/>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sz w:val="22"/>
      <w:szCs w:val="22"/>
    </w:rPr>
  </w:style>
  <w:style w:type="paragraph" w:styleId="Heading6">
    <w:name w:val="heading 6"/>
    <w:basedOn w:val="Normal"/>
    <w:next w:val="Normal"/>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pPr>
      <w:spacing w:line="276" w:lineRule="auto"/>
    </w:pPr>
    <w:rPr>
      <w:lang w:val="es" w:eastAsia="es-UY"/>
    </w:rPr>
    <w:tblPr>
      <w:tblCellMar>
        <w:top w:w="0" w:type="dxa"/>
        <w:left w:w="0" w:type="dxa"/>
        <w:bottom w:w="0" w:type="dxa"/>
        <w:right w:w="0" w:type="dxa"/>
      </w:tblCellMar>
    </w:tblPr>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rFonts w:ascii="Arial" w:eastAsia="Arial" w:hAnsi="Arial" w:cs="Arial"/>
      <w:color w:val="666666"/>
      <w:sz w:val="30"/>
      <w:szCs w:val="30"/>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table" w:customStyle="1" w:styleId="a2">
    <w:basedOn w:val="TableNormal1"/>
    <w:tblPr>
      <w:tblStyleRowBandSize w:val="1"/>
      <w:tblStyleColBandSize w:val="1"/>
      <w:tblCellMar>
        <w:top w:w="100" w:type="dxa"/>
        <w:left w:w="100" w:type="dxa"/>
        <w:bottom w:w="100" w:type="dxa"/>
        <w:right w:w="100" w:type="dxa"/>
      </w:tblCellMar>
    </w:tblPr>
  </w:style>
  <w:style w:type="table" w:customStyle="1" w:styleId="a3">
    <w:basedOn w:val="TableNormal1"/>
    <w:tblPr>
      <w:tblStyleRowBandSize w:val="1"/>
      <w:tblStyleColBandSize w:val="1"/>
      <w:tblCellMar>
        <w:top w:w="100" w:type="dxa"/>
        <w:left w:w="100" w:type="dxa"/>
        <w:bottom w:w="100" w:type="dxa"/>
        <w:right w:w="100" w:type="dxa"/>
      </w:tblCellMar>
    </w:tblPr>
  </w:style>
  <w:style w:type="table" w:customStyle="1" w:styleId="a4">
    <w:basedOn w:val="TableNormal1"/>
    <w:tblPr>
      <w:tblStyleRowBandSize w:val="1"/>
      <w:tblStyleColBandSize w:val="1"/>
      <w:tblCellMar>
        <w:top w:w="100" w:type="dxa"/>
        <w:left w:w="100" w:type="dxa"/>
        <w:bottom w:w="100" w:type="dxa"/>
        <w:right w:w="100" w:type="dxa"/>
      </w:tblCellMar>
    </w:tblPr>
  </w:style>
  <w:style w:type="table" w:customStyle="1" w:styleId="a5">
    <w:basedOn w:val="TableNormal1"/>
    <w:tblPr>
      <w:tblStyleRowBandSize w:val="1"/>
      <w:tblStyleColBandSize w:val="1"/>
      <w:tblCellMar>
        <w:top w:w="100" w:type="dxa"/>
        <w:left w:w="100" w:type="dxa"/>
        <w:bottom w:w="100" w:type="dxa"/>
        <w:right w:w="100" w:type="dxa"/>
      </w:tblCellMar>
    </w:tblPr>
  </w:style>
  <w:style w:type="table" w:customStyle="1" w:styleId="a6">
    <w:basedOn w:val="TableNormal1"/>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3760</Words>
  <Characters>21435</Characters>
  <Application>Microsoft Office Word</Application>
  <DocSecurity>4</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25145</CharactersWithSpaces>
  <SharedDoc>false</SharedDoc>
  <HLinks>
    <vt:vector size="180" baseType="variant">
      <vt:variant>
        <vt:i4>5832821</vt:i4>
      </vt:variant>
      <vt:variant>
        <vt:i4>87</vt:i4>
      </vt:variant>
      <vt:variant>
        <vt:i4>0</vt:i4>
      </vt:variant>
      <vt:variant>
        <vt:i4>5</vt:i4>
      </vt:variant>
      <vt:variant>
        <vt:lpwstr/>
      </vt:variant>
      <vt:variant>
        <vt:lpwstr>_fvv64iunemmr</vt:lpwstr>
      </vt:variant>
      <vt:variant>
        <vt:i4>5832821</vt:i4>
      </vt:variant>
      <vt:variant>
        <vt:i4>84</vt:i4>
      </vt:variant>
      <vt:variant>
        <vt:i4>0</vt:i4>
      </vt:variant>
      <vt:variant>
        <vt:i4>5</vt:i4>
      </vt:variant>
      <vt:variant>
        <vt:lpwstr/>
      </vt:variant>
      <vt:variant>
        <vt:lpwstr>_fvv64iunemmr</vt:lpwstr>
      </vt:variant>
      <vt:variant>
        <vt:i4>5832821</vt:i4>
      </vt:variant>
      <vt:variant>
        <vt:i4>81</vt:i4>
      </vt:variant>
      <vt:variant>
        <vt:i4>0</vt:i4>
      </vt:variant>
      <vt:variant>
        <vt:i4>5</vt:i4>
      </vt:variant>
      <vt:variant>
        <vt:lpwstr/>
      </vt:variant>
      <vt:variant>
        <vt:lpwstr>_fvv64iunemmr</vt:lpwstr>
      </vt:variant>
      <vt:variant>
        <vt:i4>5832821</vt:i4>
      </vt:variant>
      <vt:variant>
        <vt:i4>78</vt:i4>
      </vt:variant>
      <vt:variant>
        <vt:i4>0</vt:i4>
      </vt:variant>
      <vt:variant>
        <vt:i4>5</vt:i4>
      </vt:variant>
      <vt:variant>
        <vt:lpwstr/>
      </vt:variant>
      <vt:variant>
        <vt:lpwstr>_fvv64iunemmr</vt:lpwstr>
      </vt:variant>
      <vt:variant>
        <vt:i4>5832821</vt:i4>
      </vt:variant>
      <vt:variant>
        <vt:i4>75</vt:i4>
      </vt:variant>
      <vt:variant>
        <vt:i4>0</vt:i4>
      </vt:variant>
      <vt:variant>
        <vt:i4>5</vt:i4>
      </vt:variant>
      <vt:variant>
        <vt:lpwstr/>
      </vt:variant>
      <vt:variant>
        <vt:lpwstr>_fvv64iunemmr</vt:lpwstr>
      </vt:variant>
      <vt:variant>
        <vt:i4>5832821</vt:i4>
      </vt:variant>
      <vt:variant>
        <vt:i4>72</vt:i4>
      </vt:variant>
      <vt:variant>
        <vt:i4>0</vt:i4>
      </vt:variant>
      <vt:variant>
        <vt:i4>5</vt:i4>
      </vt:variant>
      <vt:variant>
        <vt:lpwstr/>
      </vt:variant>
      <vt:variant>
        <vt:lpwstr>_fvv64iunemmr</vt:lpwstr>
      </vt:variant>
      <vt:variant>
        <vt:i4>1441829</vt:i4>
      </vt:variant>
      <vt:variant>
        <vt:i4>69</vt:i4>
      </vt:variant>
      <vt:variant>
        <vt:i4>0</vt:i4>
      </vt:variant>
      <vt:variant>
        <vt:i4>5</vt:i4>
      </vt:variant>
      <vt:variant>
        <vt:lpwstr/>
      </vt:variant>
      <vt:variant>
        <vt:lpwstr>_nb5n3p7kpm9f</vt:lpwstr>
      </vt:variant>
      <vt:variant>
        <vt:i4>5832821</vt:i4>
      </vt:variant>
      <vt:variant>
        <vt:i4>66</vt:i4>
      </vt:variant>
      <vt:variant>
        <vt:i4>0</vt:i4>
      </vt:variant>
      <vt:variant>
        <vt:i4>5</vt:i4>
      </vt:variant>
      <vt:variant>
        <vt:lpwstr/>
      </vt:variant>
      <vt:variant>
        <vt:lpwstr>_fvv64iunemmr</vt:lpwstr>
      </vt:variant>
      <vt:variant>
        <vt:i4>1441829</vt:i4>
      </vt:variant>
      <vt:variant>
        <vt:i4>63</vt:i4>
      </vt:variant>
      <vt:variant>
        <vt:i4>0</vt:i4>
      </vt:variant>
      <vt:variant>
        <vt:i4>5</vt:i4>
      </vt:variant>
      <vt:variant>
        <vt:lpwstr/>
      </vt:variant>
      <vt:variant>
        <vt:lpwstr>_nb5n3p7kpm9f</vt:lpwstr>
      </vt:variant>
      <vt:variant>
        <vt:i4>5832821</vt:i4>
      </vt:variant>
      <vt:variant>
        <vt:i4>60</vt:i4>
      </vt:variant>
      <vt:variant>
        <vt:i4>0</vt:i4>
      </vt:variant>
      <vt:variant>
        <vt:i4>5</vt:i4>
      </vt:variant>
      <vt:variant>
        <vt:lpwstr/>
      </vt:variant>
      <vt:variant>
        <vt:lpwstr>_fvv64iunemmr</vt:lpwstr>
      </vt:variant>
      <vt:variant>
        <vt:i4>6160385</vt:i4>
      </vt:variant>
      <vt:variant>
        <vt:i4>57</vt:i4>
      </vt:variant>
      <vt:variant>
        <vt:i4>0</vt:i4>
      </vt:variant>
      <vt:variant>
        <vt:i4>5</vt:i4>
      </vt:variant>
      <vt:variant>
        <vt:lpwstr/>
      </vt:variant>
      <vt:variant>
        <vt:lpwstr>9lfg2bx5zpnr</vt:lpwstr>
      </vt:variant>
      <vt:variant>
        <vt:i4>458757</vt:i4>
      </vt:variant>
      <vt:variant>
        <vt:i4>54</vt:i4>
      </vt:variant>
      <vt:variant>
        <vt:i4>0</vt:i4>
      </vt:variant>
      <vt:variant>
        <vt:i4>5</vt:i4>
      </vt:variant>
      <vt:variant>
        <vt:lpwstr/>
      </vt:variant>
      <vt:variant>
        <vt:lpwstr>jweblhjq5g9l</vt:lpwstr>
      </vt:variant>
      <vt:variant>
        <vt:i4>5832821</vt:i4>
      </vt:variant>
      <vt:variant>
        <vt:i4>51</vt:i4>
      </vt:variant>
      <vt:variant>
        <vt:i4>0</vt:i4>
      </vt:variant>
      <vt:variant>
        <vt:i4>5</vt:i4>
      </vt:variant>
      <vt:variant>
        <vt:lpwstr/>
      </vt:variant>
      <vt:variant>
        <vt:lpwstr>_fvv64iunemmr</vt:lpwstr>
      </vt:variant>
      <vt:variant>
        <vt:i4>5832821</vt:i4>
      </vt:variant>
      <vt:variant>
        <vt:i4>48</vt:i4>
      </vt:variant>
      <vt:variant>
        <vt:i4>0</vt:i4>
      </vt:variant>
      <vt:variant>
        <vt:i4>5</vt:i4>
      </vt:variant>
      <vt:variant>
        <vt:lpwstr/>
      </vt:variant>
      <vt:variant>
        <vt:lpwstr>_fvv64iunemmr</vt:lpwstr>
      </vt:variant>
      <vt:variant>
        <vt:i4>5832821</vt:i4>
      </vt:variant>
      <vt:variant>
        <vt:i4>45</vt:i4>
      </vt:variant>
      <vt:variant>
        <vt:i4>0</vt:i4>
      </vt:variant>
      <vt:variant>
        <vt:i4>5</vt:i4>
      </vt:variant>
      <vt:variant>
        <vt:lpwstr/>
      </vt:variant>
      <vt:variant>
        <vt:lpwstr>_fvv64iunemmr</vt:lpwstr>
      </vt:variant>
      <vt:variant>
        <vt:i4>6160385</vt:i4>
      </vt:variant>
      <vt:variant>
        <vt:i4>42</vt:i4>
      </vt:variant>
      <vt:variant>
        <vt:i4>0</vt:i4>
      </vt:variant>
      <vt:variant>
        <vt:i4>5</vt:i4>
      </vt:variant>
      <vt:variant>
        <vt:lpwstr/>
      </vt:variant>
      <vt:variant>
        <vt:lpwstr>9lfg2bx5zpnr</vt:lpwstr>
      </vt:variant>
      <vt:variant>
        <vt:i4>5832821</vt:i4>
      </vt:variant>
      <vt:variant>
        <vt:i4>39</vt:i4>
      </vt:variant>
      <vt:variant>
        <vt:i4>0</vt:i4>
      </vt:variant>
      <vt:variant>
        <vt:i4>5</vt:i4>
      </vt:variant>
      <vt:variant>
        <vt:lpwstr/>
      </vt:variant>
      <vt:variant>
        <vt:lpwstr>_fvv64iunemmr</vt:lpwstr>
      </vt:variant>
      <vt:variant>
        <vt:i4>5832821</vt:i4>
      </vt:variant>
      <vt:variant>
        <vt:i4>36</vt:i4>
      </vt:variant>
      <vt:variant>
        <vt:i4>0</vt:i4>
      </vt:variant>
      <vt:variant>
        <vt:i4>5</vt:i4>
      </vt:variant>
      <vt:variant>
        <vt:lpwstr/>
      </vt:variant>
      <vt:variant>
        <vt:lpwstr>_fvv64iunemmr</vt:lpwstr>
      </vt:variant>
      <vt:variant>
        <vt:i4>5832821</vt:i4>
      </vt:variant>
      <vt:variant>
        <vt:i4>33</vt:i4>
      </vt:variant>
      <vt:variant>
        <vt:i4>0</vt:i4>
      </vt:variant>
      <vt:variant>
        <vt:i4>5</vt:i4>
      </vt:variant>
      <vt:variant>
        <vt:lpwstr/>
      </vt:variant>
      <vt:variant>
        <vt:lpwstr>_fvv64iunemmr</vt:lpwstr>
      </vt:variant>
      <vt:variant>
        <vt:i4>5832821</vt:i4>
      </vt:variant>
      <vt:variant>
        <vt:i4>30</vt:i4>
      </vt:variant>
      <vt:variant>
        <vt:i4>0</vt:i4>
      </vt:variant>
      <vt:variant>
        <vt:i4>5</vt:i4>
      </vt:variant>
      <vt:variant>
        <vt:lpwstr/>
      </vt:variant>
      <vt:variant>
        <vt:lpwstr>_fvv64iunemmr</vt:lpwstr>
      </vt:variant>
      <vt:variant>
        <vt:i4>5832821</vt:i4>
      </vt:variant>
      <vt:variant>
        <vt:i4>27</vt:i4>
      </vt:variant>
      <vt:variant>
        <vt:i4>0</vt:i4>
      </vt:variant>
      <vt:variant>
        <vt:i4>5</vt:i4>
      </vt:variant>
      <vt:variant>
        <vt:lpwstr/>
      </vt:variant>
      <vt:variant>
        <vt:lpwstr>_fvv64iunemmr</vt:lpwstr>
      </vt:variant>
      <vt:variant>
        <vt:i4>5832821</vt:i4>
      </vt:variant>
      <vt:variant>
        <vt:i4>24</vt:i4>
      </vt:variant>
      <vt:variant>
        <vt:i4>0</vt:i4>
      </vt:variant>
      <vt:variant>
        <vt:i4>5</vt:i4>
      </vt:variant>
      <vt:variant>
        <vt:lpwstr/>
      </vt:variant>
      <vt:variant>
        <vt:lpwstr>_fvv64iunemmr</vt:lpwstr>
      </vt:variant>
      <vt:variant>
        <vt:i4>5832821</vt:i4>
      </vt:variant>
      <vt:variant>
        <vt:i4>21</vt:i4>
      </vt:variant>
      <vt:variant>
        <vt:i4>0</vt:i4>
      </vt:variant>
      <vt:variant>
        <vt:i4>5</vt:i4>
      </vt:variant>
      <vt:variant>
        <vt:lpwstr/>
      </vt:variant>
      <vt:variant>
        <vt:lpwstr>_fvv64iunemmr</vt:lpwstr>
      </vt:variant>
      <vt:variant>
        <vt:i4>4784151</vt:i4>
      </vt:variant>
      <vt:variant>
        <vt:i4>18</vt:i4>
      </vt:variant>
      <vt:variant>
        <vt:i4>0</vt:i4>
      </vt:variant>
      <vt:variant>
        <vt:i4>5</vt:i4>
      </vt:variant>
      <vt:variant>
        <vt:lpwstr/>
      </vt:variant>
      <vt:variant>
        <vt:lpwstr>v7amytyklylu</vt:lpwstr>
      </vt:variant>
      <vt:variant>
        <vt:i4>5832821</vt:i4>
      </vt:variant>
      <vt:variant>
        <vt:i4>15</vt:i4>
      </vt:variant>
      <vt:variant>
        <vt:i4>0</vt:i4>
      </vt:variant>
      <vt:variant>
        <vt:i4>5</vt:i4>
      </vt:variant>
      <vt:variant>
        <vt:lpwstr/>
      </vt:variant>
      <vt:variant>
        <vt:lpwstr>_fvv64iunemmr</vt:lpwstr>
      </vt:variant>
      <vt:variant>
        <vt:i4>5832821</vt:i4>
      </vt:variant>
      <vt:variant>
        <vt:i4>12</vt:i4>
      </vt:variant>
      <vt:variant>
        <vt:i4>0</vt:i4>
      </vt:variant>
      <vt:variant>
        <vt:i4>5</vt:i4>
      </vt:variant>
      <vt:variant>
        <vt:lpwstr/>
      </vt:variant>
      <vt:variant>
        <vt:lpwstr>_fvv64iunemmr</vt:lpwstr>
      </vt:variant>
      <vt:variant>
        <vt:i4>5832821</vt:i4>
      </vt:variant>
      <vt:variant>
        <vt:i4>9</vt:i4>
      </vt:variant>
      <vt:variant>
        <vt:i4>0</vt:i4>
      </vt:variant>
      <vt:variant>
        <vt:i4>5</vt:i4>
      </vt:variant>
      <vt:variant>
        <vt:lpwstr/>
      </vt:variant>
      <vt:variant>
        <vt:lpwstr>_fvv64iunemmr</vt:lpwstr>
      </vt:variant>
      <vt:variant>
        <vt:i4>131098</vt:i4>
      </vt:variant>
      <vt:variant>
        <vt:i4>6</vt:i4>
      </vt:variant>
      <vt:variant>
        <vt:i4>0</vt:i4>
      </vt:variant>
      <vt:variant>
        <vt:i4>5</vt:i4>
      </vt:variant>
      <vt:variant>
        <vt:lpwstr/>
      </vt:variant>
      <vt:variant>
        <vt:lpwstr>yi3k9mjnhtkw</vt:lpwstr>
      </vt:variant>
      <vt:variant>
        <vt:i4>5832821</vt:i4>
      </vt:variant>
      <vt:variant>
        <vt:i4>3</vt:i4>
      </vt:variant>
      <vt:variant>
        <vt:i4>0</vt:i4>
      </vt:variant>
      <vt:variant>
        <vt:i4>5</vt:i4>
      </vt:variant>
      <vt:variant>
        <vt:lpwstr/>
      </vt:variant>
      <vt:variant>
        <vt:lpwstr>_fvv64iunemmr</vt:lpwstr>
      </vt:variant>
      <vt:variant>
        <vt:i4>5832821</vt:i4>
      </vt:variant>
      <vt:variant>
        <vt:i4>0</vt:i4>
      </vt:variant>
      <vt:variant>
        <vt:i4>0</vt:i4>
      </vt:variant>
      <vt:variant>
        <vt:i4>5</vt:i4>
      </vt:variant>
      <vt:variant>
        <vt:lpwstr/>
      </vt:variant>
      <vt:variant>
        <vt:lpwstr>_fvv64iunemmr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Hernández</dc:creator>
  <cp:keywords/>
  <cp:lastModifiedBy>word</cp:lastModifiedBy>
  <cp:revision>2</cp:revision>
  <dcterms:created xsi:type="dcterms:W3CDTF">2025-12-05T15:03:00Z</dcterms:created>
  <dcterms:modified xsi:type="dcterms:W3CDTF">2025-12-05T15:03:00Z</dcterms:modified>
</cp:coreProperties>
</file>